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pPr>
      <w:r>
        <w:rPr>
          <w:rFonts w:hint="eastAsia"/>
        </w:rPr>
        <w:t xml:space="preserve">                                                          </w:t>
      </w:r>
    </w:p>
    <w:p>
      <w:pPr>
        <w:snapToGrid w:val="0"/>
        <w:spacing w:line="590" w:lineRule="exact"/>
      </w:pPr>
      <w:r>
        <w:rPr>
          <w:rFonts w:hint="eastAsia"/>
        </w:rPr>
        <w:t xml:space="preserve">                                           </w:t>
      </w:r>
    </w:p>
    <w:p>
      <w:pPr>
        <w:snapToGrid w:val="0"/>
        <w:spacing w:line="590" w:lineRule="exact"/>
      </w:pPr>
      <w:r>
        <w:rPr>
          <w:rFonts w:hint="eastAsia"/>
        </w:rPr>
        <w:t xml:space="preserve">                                            </w:t>
      </w:r>
    </w:p>
    <w:p>
      <w:pPr>
        <w:snapToGrid w:val="0"/>
        <w:spacing w:line="590" w:lineRule="exact"/>
      </w:pPr>
      <w:r>
        <w:drawing>
          <wp:anchor distT="0" distB="0" distL="114300" distR="114300" simplePos="0" relativeHeight="251658240" behindDoc="0" locked="0" layoutInCell="1" allowOverlap="1">
            <wp:simplePos x="0" y="0"/>
            <wp:positionH relativeFrom="column">
              <wp:posOffset>323850</wp:posOffset>
            </wp:positionH>
            <wp:positionV relativeFrom="paragraph">
              <wp:posOffset>247650</wp:posOffset>
            </wp:positionV>
            <wp:extent cx="4866640" cy="762000"/>
            <wp:effectExtent l="0" t="0" r="0" b="0"/>
            <wp:wrapNone/>
            <wp:docPr id="1"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图片1"/>
                    <pic:cNvPicPr>
                      <a:picLocks noChangeAspect="1"/>
                    </pic:cNvPicPr>
                  </pic:nvPicPr>
                  <pic:blipFill>
                    <a:blip r:embed="rId7"/>
                    <a:stretch>
                      <a:fillRect/>
                    </a:stretch>
                  </pic:blipFill>
                  <pic:spPr>
                    <a:xfrm>
                      <a:off x="0" y="0"/>
                      <a:ext cx="4866640" cy="762000"/>
                    </a:xfrm>
                    <a:prstGeom prst="rect">
                      <a:avLst/>
                    </a:prstGeom>
                    <a:noFill/>
                    <a:ln w="9525">
                      <a:noFill/>
                    </a:ln>
                  </pic:spPr>
                </pic:pic>
              </a:graphicData>
            </a:graphic>
          </wp:anchor>
        </w:drawing>
      </w:r>
      <w:r>
        <w:rPr>
          <w:rFonts w:hint="eastAsia"/>
        </w:rPr>
        <w:t xml:space="preserve">                                            </w:t>
      </w:r>
    </w:p>
    <w:p>
      <w:pPr>
        <w:snapToGrid w:val="0"/>
        <w:spacing w:line="590" w:lineRule="exact"/>
      </w:pPr>
      <w:r>
        <w:rPr>
          <w:rFonts w:hint="eastAsia"/>
        </w:rPr>
        <w:t xml:space="preserve">                                       </w:t>
      </w:r>
    </w:p>
    <w:p>
      <w:pPr>
        <w:snapToGrid w:val="0"/>
        <w:spacing w:line="590" w:lineRule="exact"/>
      </w:pPr>
      <w:r>
        <w:rPr>
          <w:rFonts w:hint="eastAsia"/>
        </w:rPr>
        <w:t xml:space="preserve">                                </w:t>
      </w:r>
    </w:p>
    <w:p>
      <w:pPr>
        <w:snapToGrid w:val="0"/>
        <w:spacing w:line="590" w:lineRule="exact"/>
      </w:pPr>
      <w:r>
        <w:rPr>
          <w:rFonts w:hint="eastAsia"/>
        </w:rPr>
        <w:t xml:space="preserve">           </w:t>
      </w:r>
    </w:p>
    <w:tbl>
      <w:tblPr>
        <w:tblStyle w:val="7"/>
        <w:tblpPr w:leftFromText="180" w:rightFromText="180" w:vertAnchor="text" w:horzAnchor="margin" w:tblpY="417"/>
        <w:tblW w:w="8844" w:type="dxa"/>
        <w:tblInd w:w="0" w:type="dxa"/>
        <w:tblBorders>
          <w:top w:val="none" w:color="auto" w:sz="0" w:space="0"/>
          <w:left w:val="none" w:color="auto" w:sz="0" w:space="0"/>
          <w:bottom w:val="single" w:color="FF0000"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none" w:color="auto" w:sz="0" w:space="0"/>
            <w:left w:val="none" w:color="auto" w:sz="0" w:space="0"/>
            <w:bottom w:val="single" w:color="FF0000"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exact"/>
        </w:trPr>
        <w:tc>
          <w:tcPr>
            <w:tcW w:w="8844" w:type="dxa"/>
          </w:tcPr>
          <w:p>
            <w:pPr>
              <w:snapToGrid w:val="0"/>
              <w:spacing w:line="620" w:lineRule="exact"/>
              <w:jc w:val="center"/>
            </w:pPr>
            <w:r>
              <w:drawing>
                <wp:anchor distT="0" distB="0" distL="114300" distR="114300" simplePos="0" relativeHeight="251659264" behindDoc="0" locked="0" layoutInCell="1" allowOverlap="1">
                  <wp:simplePos x="0" y="0"/>
                  <wp:positionH relativeFrom="column">
                    <wp:posOffset>-9525</wp:posOffset>
                  </wp:positionH>
                  <wp:positionV relativeFrom="page">
                    <wp:posOffset>469900</wp:posOffset>
                  </wp:positionV>
                  <wp:extent cx="5614035" cy="9525"/>
                  <wp:effectExtent l="0" t="0" r="0" b="0"/>
                  <wp:wrapNone/>
                  <wp:docPr id="2" name="图片 2" descr="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x"/>
                          <pic:cNvPicPr>
                            <a:picLocks noChangeAspect="1"/>
                          </pic:cNvPicPr>
                        </pic:nvPicPr>
                        <pic:blipFill>
                          <a:blip r:embed="rId8"/>
                          <a:stretch>
                            <a:fillRect/>
                          </a:stretch>
                        </pic:blipFill>
                        <pic:spPr>
                          <a:xfrm>
                            <a:off x="0" y="0"/>
                            <a:ext cx="5614035" cy="9525"/>
                          </a:xfrm>
                          <a:prstGeom prst="rect">
                            <a:avLst/>
                          </a:prstGeom>
                          <a:noFill/>
                          <a:ln w="9525">
                            <a:noFill/>
                          </a:ln>
                        </pic:spPr>
                      </pic:pic>
                    </a:graphicData>
                  </a:graphic>
                </wp:anchor>
              </w:drawing>
            </w:r>
            <w:r>
              <w:t>孟政〔2017〕13号</w:t>
            </w:r>
          </w:p>
        </w:tc>
      </w:tr>
    </w:tbl>
    <w:p>
      <w:pPr>
        <w:adjustRightInd w:val="0"/>
        <w:snapToGrid w:val="0"/>
        <w:spacing w:line="640" w:lineRule="exact"/>
      </w:pPr>
      <w:r>
        <w:rPr>
          <w:rFonts w:hint="eastAsia"/>
        </w:rPr>
        <w:t xml:space="preserve">                         </w:t>
      </w:r>
    </w:p>
    <w:p>
      <w:pPr>
        <w:adjustRightInd w:val="0"/>
        <w:snapToGrid w:val="0"/>
        <w:spacing w:line="640" w:lineRule="exact"/>
      </w:pPr>
      <w:r>
        <w:rPr>
          <w:rFonts w:hint="eastAsia"/>
        </w:rPr>
        <w:t xml:space="preserve">                                        </w:t>
      </w:r>
    </w:p>
    <w:p>
      <w:pPr>
        <w:snapToGrid w:val="0"/>
        <w:spacing w:line="590" w:lineRule="exact"/>
        <w:jc w:val="center"/>
        <w:rPr>
          <w:rFonts w:ascii="方正小标宋简体" w:eastAsia="方正小标宋简体"/>
          <w:sz w:val="44"/>
          <w:szCs w:val="44"/>
        </w:rPr>
      </w:pPr>
      <w:r>
        <w:rPr>
          <w:rFonts w:hint="eastAsia" w:ascii="方正小标宋简体" w:eastAsia="方正小标宋简体"/>
          <w:sz w:val="44"/>
          <w:szCs w:val="44"/>
        </w:rPr>
        <w:t>孟津县人民政府</w:t>
      </w:r>
    </w:p>
    <w:p>
      <w:pPr>
        <w:snapToGrid w:val="0"/>
        <w:spacing w:line="59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rPr>
        <w:t>孟津县</w:t>
      </w:r>
      <w:r>
        <w:rPr>
          <w:rFonts w:ascii="方正小标宋简体" w:hAnsi="方正小标宋简体" w:eastAsia="方正小标宋简体" w:cs="方正小标宋简体"/>
          <w:sz w:val="44"/>
          <w:szCs w:val="44"/>
        </w:rPr>
        <w:t>电代煤气代煤工作实施方案</w:t>
      </w:r>
      <w:r>
        <w:rPr>
          <w:rFonts w:hint="eastAsia" w:ascii="方正小标宋简体" w:hAnsi="方正小标宋简体" w:eastAsia="方正小标宋简体" w:cs="方正小标宋简体"/>
          <w:sz w:val="44"/>
          <w:szCs w:val="44"/>
          <w:lang w:eastAsia="zh-CN"/>
        </w:rPr>
        <w:t>的</w:t>
      </w:r>
    </w:p>
    <w:p>
      <w:pPr>
        <w:snapToGrid w:val="0"/>
        <w:spacing w:line="590" w:lineRule="exact"/>
        <w:jc w:val="center"/>
        <w:rPr>
          <w:rFonts w:ascii="方正小标宋简体" w:eastAsia="方正小标宋简体"/>
          <w:sz w:val="44"/>
          <w:szCs w:val="44"/>
        </w:rPr>
      </w:pPr>
      <w:r>
        <w:rPr>
          <w:rFonts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sz w:val="44"/>
          <w:szCs w:val="44"/>
        </w:rPr>
        <w:t>知</w:t>
      </w:r>
    </w:p>
    <w:p>
      <w:pPr>
        <w:snapToGrid w:val="0"/>
        <w:spacing w:line="570" w:lineRule="exact"/>
        <w:jc w:val="center"/>
        <w:rPr>
          <w:rFonts w:ascii="方正小标宋简体" w:eastAsia="方正小标宋简体"/>
          <w:sz w:val="44"/>
          <w:szCs w:val="44"/>
        </w:rPr>
      </w:pPr>
      <w:r>
        <w:rPr>
          <w:rFonts w:hint="eastAsia" w:ascii="方正小标宋简体" w:eastAsia="方正小标宋简体"/>
          <w:sz w:val="44"/>
          <w:szCs w:val="44"/>
        </w:rPr>
        <w:t xml:space="preserve"> </w:t>
      </w:r>
    </w:p>
    <w:p>
      <w:pPr>
        <w:adjustRightInd w:val="0"/>
        <w:snapToGrid w:val="0"/>
        <w:spacing w:line="570" w:lineRule="exact"/>
      </w:pPr>
      <w:r>
        <w:rPr>
          <w:rFonts w:hint="eastAsia" w:ascii="仿宋_GB2312" w:hAnsi="仿宋_GB2312" w:cs="仿宋_GB2312"/>
          <w:color w:val="000000"/>
          <w:szCs w:val="32"/>
        </w:rPr>
        <w:t>各镇（区）人民政府（管委会、管理中心），县人民政府各部门，各有关单位：</w:t>
      </w:r>
    </w:p>
    <w:p>
      <w:pPr>
        <w:adjustRightInd w:val="0"/>
        <w:snapToGrid w:val="0"/>
        <w:spacing w:line="570" w:lineRule="exact"/>
        <w:ind w:firstLine="632" w:firstLineChars="200"/>
      </w:pPr>
      <w:r>
        <w:rPr>
          <w:rFonts w:ascii="仿宋_GB2312" w:hAnsi="仿宋_GB2312" w:cs="仿宋_GB2312"/>
          <w:color w:val="000000"/>
        </w:rPr>
        <w:t>《孟津县</w:t>
      </w:r>
      <w:r>
        <w:rPr>
          <w:rFonts w:ascii="仿宋_GB2312" w:hAnsi="仿宋_GB2312" w:cs="仿宋_GB2312"/>
          <w:szCs w:val="32"/>
        </w:rPr>
        <w:t>电代煤、气代煤工作实施方案</w:t>
      </w:r>
      <w:r>
        <w:rPr>
          <w:rFonts w:ascii="仿宋_GB2312" w:hAnsi="仿宋_GB2312" w:cs="仿宋_GB2312"/>
          <w:color w:val="000000"/>
        </w:rPr>
        <w:t>》已经县政府研究同意，现印发给你们，请认真组织实施。</w:t>
      </w:r>
    </w:p>
    <w:p>
      <w:pPr>
        <w:adjustRightInd w:val="0"/>
        <w:snapToGrid w:val="0"/>
        <w:spacing w:line="660" w:lineRule="exact"/>
      </w:pPr>
      <w:bookmarkStart w:id="0" w:name="_GoBack"/>
      <w:bookmarkEnd w:id="0"/>
    </w:p>
    <w:p>
      <w:pPr>
        <w:adjustRightInd w:val="0"/>
        <w:snapToGrid w:val="0"/>
        <w:spacing w:line="660" w:lineRule="exact"/>
      </w:pPr>
    </w:p>
    <w:p>
      <w:pPr>
        <w:adjustRightInd w:val="0"/>
        <w:snapToGrid w:val="0"/>
        <w:spacing w:line="570" w:lineRule="exact"/>
        <w:rPr>
          <w:rFonts w:hint="default" w:ascii="Times New Roman" w:hAnsi="Times New Roman" w:cs="Times New Roman"/>
        </w:rPr>
      </w:pPr>
      <w:r>
        <w:rPr>
          <w:rFonts w:ascii="仿宋_GB2312" w:hAnsi="仿宋_GB2312" w:cs="仿宋_GB2312"/>
          <w:szCs w:val="32"/>
        </w:rPr>
        <w:t xml:space="preserve">                                </w:t>
      </w:r>
      <w:r>
        <w:rPr>
          <w:rFonts w:hint="default" w:ascii="Times New Roman" w:hAnsi="Times New Roman" w:cs="Times New Roman"/>
          <w:szCs w:val="32"/>
        </w:rPr>
        <w:t xml:space="preserve"> 2017年6月19日</w:t>
      </w:r>
    </w:p>
    <w:p>
      <w:pPr>
        <w:adjustRightInd w:val="0"/>
        <w:snapToGrid w:val="0"/>
        <w:spacing w:line="594" w:lineRule="exact"/>
        <w:ind w:firstLine="1090" w:firstLineChars="250"/>
        <w:rPr>
          <w:color w:val="000000"/>
          <w:szCs w:val="32"/>
        </w:rPr>
      </w:pPr>
      <w:r>
        <w:rPr>
          <w:rFonts w:hint="eastAsia" w:ascii="方正小标宋简体" w:hAnsi="方正小标宋简体" w:eastAsia="方正小标宋简体" w:cs="方正小标宋简体"/>
          <w:sz w:val="44"/>
          <w:szCs w:val="44"/>
        </w:rPr>
        <w:t>孟津县</w:t>
      </w:r>
      <w:r>
        <w:rPr>
          <w:rFonts w:ascii="方正小标宋简体" w:hAnsi="方正小标宋简体" w:eastAsia="方正小标宋简体" w:cs="方正小标宋简体"/>
          <w:sz w:val="44"/>
          <w:szCs w:val="44"/>
        </w:rPr>
        <w:t>电代煤、气代煤工作实施方案</w:t>
      </w:r>
    </w:p>
    <w:p>
      <w:pPr>
        <w:adjustRightInd w:val="0"/>
        <w:snapToGrid w:val="0"/>
        <w:spacing w:before="600" w:beforeLines="100" w:line="594" w:lineRule="exact"/>
        <w:ind w:firstLine="632" w:firstLineChars="200"/>
        <w:rPr>
          <w:color w:val="000000"/>
          <w:szCs w:val="32"/>
        </w:rPr>
      </w:pPr>
      <w:r>
        <w:rPr>
          <w:rFonts w:hint="eastAsia"/>
          <w:color w:val="000000"/>
          <w:szCs w:val="32"/>
        </w:rPr>
        <w:t>为深入落实市委、市政府和县委、县政府关于打赢大气污染防治攻坚战和做好燃煤散烧管控工作的安排部署，加快推进我县电代煤、气代煤工作，切实减少煤炭消费量，促进全县空气环境质量持续改善，按照《洛阳市加强燃煤散烧管控实施方案》《洛阳市电代煤、气代煤工作实施方案》有关要求，结合我县实际，特制定本方案。</w:t>
      </w:r>
    </w:p>
    <w:p>
      <w:pPr>
        <w:adjustRightInd w:val="0"/>
        <w:snapToGrid w:val="0"/>
        <w:spacing w:line="594" w:lineRule="exact"/>
        <w:ind w:firstLine="632" w:firstLineChars="200"/>
        <w:rPr>
          <w:rFonts w:ascii="黑体" w:eastAsia="黑体"/>
          <w:color w:val="000000"/>
          <w:szCs w:val="32"/>
        </w:rPr>
      </w:pPr>
      <w:r>
        <w:rPr>
          <w:rFonts w:hint="eastAsia" w:ascii="黑体" w:eastAsia="黑体"/>
          <w:color w:val="000000"/>
          <w:szCs w:val="32"/>
        </w:rPr>
        <w:t>一、总体要求</w:t>
      </w:r>
    </w:p>
    <w:p>
      <w:pPr>
        <w:adjustRightInd w:val="0"/>
        <w:snapToGrid w:val="0"/>
        <w:spacing w:line="594" w:lineRule="exact"/>
        <w:ind w:firstLine="632" w:firstLineChars="200"/>
        <w:rPr>
          <w:color w:val="000000"/>
          <w:szCs w:val="32"/>
        </w:rPr>
      </w:pPr>
      <w:r>
        <w:rPr>
          <w:rFonts w:hint="eastAsia"/>
          <w:color w:val="000000"/>
          <w:szCs w:val="32"/>
        </w:rPr>
        <w:t>按照县级统筹、突出重点、镇（区）为主体、因地制宜、分类按时限完成的原则，以提高电能和天然气消费占终端能源消费比重、降低大气污染物排放为目标，从能源供给侧和需求侧两端发力，强化环保强制性约束和政策引导性扶持，积极推进重点区域和重点领域电代煤、气代煤工作，最大限度地减少散烧煤使用量，加快提升电气化和“气化孟津”水平，形成清洁、安全、智能的新型能源消费方式，为实现全县空气质量改善目标提供有力支撑。</w:t>
      </w:r>
    </w:p>
    <w:p>
      <w:pPr>
        <w:adjustRightInd w:val="0"/>
        <w:snapToGrid w:val="0"/>
        <w:spacing w:line="594" w:lineRule="exact"/>
        <w:ind w:firstLine="632" w:firstLineChars="200"/>
        <w:rPr>
          <w:rFonts w:ascii="黑体" w:eastAsia="黑体"/>
          <w:color w:val="000000"/>
          <w:szCs w:val="32"/>
        </w:rPr>
      </w:pPr>
      <w:r>
        <w:rPr>
          <w:rFonts w:hint="eastAsia" w:ascii="黑体" w:eastAsia="黑体"/>
          <w:color w:val="000000"/>
          <w:szCs w:val="32"/>
        </w:rPr>
        <w:t>二、主要目标</w:t>
      </w:r>
    </w:p>
    <w:p>
      <w:pPr>
        <w:adjustRightInd w:val="0"/>
        <w:snapToGrid w:val="0"/>
        <w:spacing w:line="594" w:lineRule="exact"/>
        <w:ind w:firstLine="632" w:firstLineChars="200"/>
        <w:rPr>
          <w:color w:val="000000"/>
          <w:szCs w:val="32"/>
        </w:rPr>
      </w:pPr>
      <w:r>
        <w:rPr>
          <w:rFonts w:hint="eastAsia"/>
          <w:color w:val="000000"/>
          <w:szCs w:val="32"/>
        </w:rPr>
        <w:t>2017年9月底前，在集中供热管网无法覆盖区域和使用炊事散煤领域，按照宜气则气、宜电则电的原则，全面推进电代煤、气代煤，县城禁燃区和各镇区基本实现电代煤、气代煤，确保完成电代煤、气代煤改造10000户（其中民生工程5000户）、在商业和公共领域推广热泵采暖12.1万平方米、农村居民永久性实现厨炊电气化1000户的目标任务（具体目标任务分解详见附件1）。2018年9月底前，完成各镇农村地区燃煤户60%电代煤、气代煤等清洁能源替代。同时，通过多部门联合执法督促检查，杜绝散煤复烧、降低燃煤污染。</w:t>
      </w:r>
    </w:p>
    <w:p>
      <w:pPr>
        <w:adjustRightInd w:val="0"/>
        <w:snapToGrid w:val="0"/>
        <w:spacing w:line="594" w:lineRule="exact"/>
        <w:ind w:firstLine="632" w:firstLineChars="200"/>
        <w:rPr>
          <w:rFonts w:ascii="黑体" w:eastAsia="黑体"/>
          <w:color w:val="000000"/>
          <w:szCs w:val="32"/>
        </w:rPr>
      </w:pPr>
      <w:r>
        <w:rPr>
          <w:rFonts w:hint="eastAsia" w:ascii="黑体" w:eastAsia="黑体"/>
          <w:color w:val="000000"/>
          <w:szCs w:val="32"/>
        </w:rPr>
        <w:t>三、重点任务</w:t>
      </w:r>
    </w:p>
    <w:p>
      <w:pPr>
        <w:adjustRightInd w:val="0"/>
        <w:snapToGrid w:val="0"/>
        <w:spacing w:line="594" w:lineRule="exact"/>
        <w:ind w:firstLine="632" w:firstLineChars="200"/>
        <w:rPr>
          <w:rFonts w:ascii="楷体_GB2312" w:eastAsia="楷体_GB2312"/>
          <w:color w:val="000000"/>
          <w:szCs w:val="32"/>
        </w:rPr>
      </w:pPr>
      <w:r>
        <w:rPr>
          <w:rFonts w:hint="eastAsia" w:ascii="楷体_GB2312" w:eastAsia="楷体_GB2312"/>
          <w:color w:val="000000"/>
          <w:szCs w:val="32"/>
        </w:rPr>
        <w:t>（一）全面摸清需实施电代煤、气代煤基本情况（2017年5月20日-2017年6月10日）</w:t>
      </w:r>
    </w:p>
    <w:p>
      <w:pPr>
        <w:adjustRightInd w:val="0"/>
        <w:snapToGrid w:val="0"/>
        <w:spacing w:line="594" w:lineRule="exact"/>
        <w:ind w:firstLine="632" w:firstLineChars="200"/>
        <w:rPr>
          <w:color w:val="000000"/>
          <w:szCs w:val="32"/>
        </w:rPr>
      </w:pPr>
      <w:r>
        <w:rPr>
          <w:rFonts w:hint="eastAsia"/>
          <w:color w:val="000000"/>
          <w:szCs w:val="32"/>
        </w:rPr>
        <w:t>各镇（区）全面摸清需实施电代煤、气代煤（煤电、集中供热和原料用煤企业、洁净型煤除外，下同）基本情况，要组织社区（村）对辖区内工业、农业、商业分散燃煤锅炉、窑炉、炉灶等燃煤设施情况、居民炊事及取暖散煤使用情况、机关企事业单位采暖及食堂用煤情况进行实地调查，掌握辖区内分散燃煤锅炉、窑炉数量，散煤使用的居民、商业、机关企事业单位户数、使用量、采暖和炊事用炉具情况。通过排查摸底，登记造册，建立电代煤、气代煤项目实施清单，为实施电代煤、气代煤项目，发放补贴资金提供依据。</w:t>
      </w:r>
    </w:p>
    <w:p>
      <w:pPr>
        <w:adjustRightInd w:val="0"/>
        <w:snapToGrid w:val="0"/>
        <w:spacing w:line="594" w:lineRule="exact"/>
        <w:ind w:firstLine="632" w:firstLineChars="200"/>
        <w:rPr>
          <w:rFonts w:ascii="楷体_GB2312" w:eastAsia="楷体_GB2312"/>
          <w:color w:val="000000"/>
          <w:szCs w:val="32"/>
        </w:rPr>
      </w:pPr>
      <w:r>
        <w:rPr>
          <w:rFonts w:hint="eastAsia" w:ascii="楷体_GB2312" w:eastAsia="楷体_GB2312"/>
          <w:color w:val="000000"/>
          <w:szCs w:val="32"/>
        </w:rPr>
        <w:t>（二）全面推进电代煤、气代煤工作（2017年6月11日—2018年9月底前）</w:t>
      </w:r>
    </w:p>
    <w:p>
      <w:pPr>
        <w:adjustRightInd w:val="0"/>
        <w:snapToGrid w:val="0"/>
        <w:spacing w:line="594" w:lineRule="exact"/>
        <w:ind w:firstLine="632" w:firstLineChars="200"/>
        <w:rPr>
          <w:color w:val="000000"/>
          <w:szCs w:val="32"/>
        </w:rPr>
      </w:pPr>
      <w:r>
        <w:rPr>
          <w:rFonts w:hint="eastAsia"/>
          <w:color w:val="000000"/>
          <w:szCs w:val="32"/>
        </w:rPr>
        <w:t>在加快完善和推进城区集中供热、集中供气工程，逐步提高集中供热率、燃气普及率基础上，在集中供热管网无法覆盖区域和使用炊事散煤领域，积极采取有力措施，按照宜气则气、宜电则电的原则，推进分散燃煤锅炉用煤、商业和机关企事业用煤、户用散煤等采暖和炊事用煤的电能替代和天然气替代，全力推动各项替代措施落实。</w:t>
      </w:r>
    </w:p>
    <w:p>
      <w:pPr>
        <w:adjustRightInd w:val="0"/>
        <w:snapToGrid w:val="0"/>
        <w:spacing w:line="594" w:lineRule="exact"/>
        <w:ind w:firstLine="632" w:firstLineChars="200"/>
        <w:rPr>
          <w:color w:val="000000"/>
          <w:szCs w:val="32"/>
        </w:rPr>
      </w:pPr>
      <w:r>
        <w:rPr>
          <w:rFonts w:hint="eastAsia"/>
          <w:color w:val="000000"/>
          <w:szCs w:val="32"/>
        </w:rPr>
        <w:t>1．民用生活领域。在热力和燃气管网未覆盖的老旧居民住宅、农村地区，加快新一轮电网改造升级，推广使用电暖器、冷暖空调等电采暖设备和电磁炉、微波炉、电饭煲、燃气灶具（罐装液化气）等电气炊具替代厨炊散烧用煤（柴）。在管道天然气覆盖不到的县城禁燃区及镇区，加快天然气管道延伸，积极推广使用管道天然气、生物天然气、液化天然气、压缩天然气等方式用于炊事和采暖，加大天然气替代散煤力度，提高居民气化水平。</w:t>
      </w:r>
    </w:p>
    <w:p>
      <w:pPr>
        <w:adjustRightInd w:val="0"/>
        <w:snapToGrid w:val="0"/>
        <w:spacing w:line="594" w:lineRule="exact"/>
        <w:ind w:firstLine="632" w:firstLineChars="200"/>
        <w:rPr>
          <w:color w:val="000000"/>
          <w:szCs w:val="32"/>
        </w:rPr>
      </w:pPr>
      <w:r>
        <w:rPr>
          <w:rFonts w:hint="eastAsia"/>
          <w:color w:val="000000"/>
          <w:szCs w:val="32"/>
        </w:rPr>
        <w:t>2．农业领域。在大棚种植、畜牧养殖、水产养殖、农产品干燥加工等领域，推广应用农光互补、热泵等新兴技术，有序推进畜牧养殖企业冬季采暖设施改造。</w:t>
      </w:r>
    </w:p>
    <w:p>
      <w:pPr>
        <w:adjustRightInd w:val="0"/>
        <w:snapToGrid w:val="0"/>
        <w:spacing w:line="594" w:lineRule="exact"/>
        <w:ind w:firstLine="632" w:firstLineChars="200"/>
        <w:rPr>
          <w:color w:val="000000"/>
          <w:szCs w:val="32"/>
        </w:rPr>
      </w:pPr>
      <w:r>
        <w:rPr>
          <w:rFonts w:hint="eastAsia"/>
          <w:color w:val="000000"/>
          <w:szCs w:val="32"/>
        </w:rPr>
        <w:t>3．工业领域。加快燃煤窑炉和燃煤锅炉拆改。在生产工艺需要热水、蒸汽、热风的各类行业，逐步推进蓄热式与直热式工业电锅炉、热泵应用，积极推广使用天然气锅炉（窑炉）。在金属加工、铸造、陶瓷、耐材、玻璃制品等行业，推广电窑炉或天然气窑炉。在采矿、建材、食品加工等企业生产过程中的物料运输环节，推广电驱动皮带传输。</w:t>
      </w:r>
    </w:p>
    <w:p>
      <w:pPr>
        <w:adjustRightInd w:val="0"/>
        <w:snapToGrid w:val="0"/>
        <w:spacing w:line="594" w:lineRule="exact"/>
        <w:ind w:firstLine="632" w:firstLineChars="200"/>
        <w:rPr>
          <w:color w:val="000000"/>
          <w:szCs w:val="32"/>
        </w:rPr>
      </w:pPr>
      <w:r>
        <w:rPr>
          <w:rFonts w:hint="eastAsia"/>
          <w:color w:val="000000"/>
          <w:szCs w:val="32"/>
        </w:rPr>
        <w:t>4．商业和公共领域。在热力和燃气管网覆盖范围以外的机关企事业单位和商服公共领域，加快天然气管道延伸，实施煤改气工程，推广燃气壁挂炉、燃气灶具等多种方式替代炊事和采暖用散煤。对于不具备天然气供气条件的学校、医院、商场、办公楼等公共建筑，推广碳晶、热泵等分散电采暖替代燃煤采暖。在全县范围的机关办公建筑、学校、医院、图书馆、体育馆等公益性建筑，以及单体建筑面积超过2万平方米的车站、高速公路服务区、宾馆、饭店、商场等承担城镇居民工作生活服务功能的大型公共建筑，推广应用热泵、电蓄冷空调、蓄热电锅炉、屋顶光伏发电、太阳能集中供热水等。</w:t>
      </w:r>
    </w:p>
    <w:p>
      <w:pPr>
        <w:adjustRightInd w:val="0"/>
        <w:snapToGrid w:val="0"/>
        <w:spacing w:line="594" w:lineRule="exact"/>
        <w:ind w:firstLine="632" w:firstLineChars="200"/>
        <w:rPr>
          <w:rFonts w:ascii="黑体" w:eastAsia="黑体"/>
          <w:color w:val="000000"/>
          <w:szCs w:val="32"/>
        </w:rPr>
      </w:pPr>
      <w:r>
        <w:rPr>
          <w:rFonts w:hint="eastAsia" w:ascii="黑体" w:eastAsia="黑体"/>
          <w:color w:val="000000"/>
          <w:szCs w:val="32"/>
        </w:rPr>
        <w:t>四、政策措施</w:t>
      </w:r>
    </w:p>
    <w:p>
      <w:pPr>
        <w:adjustRightInd w:val="0"/>
        <w:snapToGrid w:val="0"/>
        <w:spacing w:line="594" w:lineRule="exact"/>
        <w:ind w:firstLine="632" w:firstLineChars="200"/>
        <w:rPr>
          <w:color w:val="000000"/>
          <w:szCs w:val="32"/>
        </w:rPr>
      </w:pPr>
      <w:r>
        <w:rPr>
          <w:rFonts w:hint="eastAsia" w:ascii="楷体_GB2312" w:eastAsia="楷体_GB2312"/>
          <w:color w:val="000000"/>
          <w:szCs w:val="32"/>
        </w:rPr>
        <w:t>（一）严格环保准入。</w:t>
      </w:r>
      <w:r>
        <w:rPr>
          <w:rFonts w:hint="eastAsia"/>
          <w:color w:val="000000"/>
          <w:szCs w:val="32"/>
        </w:rPr>
        <w:t>在严格执行国家标准的基础上，制定实施燃煤设施的限制性、禁止性环保加严措施，积极推广使用电锅炉、电热水器、燃气锅炉、燃气热水器，开展农村居民生活电代煤、气代煤试点并推广应用，确保电能替代和天然气替代散烧煤切实压减。定期开展全县范围内燃煤锅炉普查和质量监督，研究出台更严格的散烧锅炉准入标准，实施污染排放惩罚措施。严格落实《洛阳市加强燃煤散烧管控实施方案》，全面取缔劣质散煤销售点，确保对所有散煤销售点实施全覆盖监管。</w:t>
      </w:r>
    </w:p>
    <w:p>
      <w:pPr>
        <w:adjustRightInd w:val="0"/>
        <w:snapToGrid w:val="0"/>
        <w:spacing w:line="594" w:lineRule="exact"/>
        <w:ind w:firstLine="632" w:firstLineChars="200"/>
        <w:rPr>
          <w:color w:val="000000"/>
          <w:szCs w:val="32"/>
        </w:rPr>
      </w:pPr>
      <w:r>
        <w:rPr>
          <w:rFonts w:hint="eastAsia" w:ascii="楷体_GB2312" w:eastAsia="楷体_GB2312"/>
          <w:color w:val="000000"/>
          <w:szCs w:val="32"/>
        </w:rPr>
        <w:t>（二）强化环保治理。</w:t>
      </w:r>
      <w:r>
        <w:rPr>
          <w:rFonts w:hint="eastAsia"/>
          <w:color w:val="000000"/>
          <w:szCs w:val="32"/>
        </w:rPr>
        <w:t>各镇（区）、县直有关职能部门要加大对镇区内高污染燃料使用情况的监督检查力度，依法取缔县内所有散煤等高污染燃料销售点，限期拆除或改造使用高污染燃料的燃煤锅炉和各类窑炉、炉灶等燃烧设施。加强对10蒸吨/时及以下燃煤锅炉和各类燃煤工业窑炉拆除或清洁能源改造、10蒸吨/时以上燃煤锅炉提标改造的督导检查，确保按规定时间完成拆改任务。</w:t>
      </w:r>
    </w:p>
    <w:p>
      <w:pPr>
        <w:adjustRightInd w:val="0"/>
        <w:snapToGrid w:val="0"/>
        <w:spacing w:line="594" w:lineRule="exact"/>
        <w:ind w:firstLine="632" w:firstLineChars="200"/>
        <w:rPr>
          <w:color w:val="000000"/>
          <w:szCs w:val="32"/>
        </w:rPr>
      </w:pPr>
      <w:r>
        <w:rPr>
          <w:rFonts w:hint="eastAsia" w:ascii="楷体_GB2312" w:eastAsia="楷体_GB2312"/>
          <w:color w:val="000000"/>
          <w:szCs w:val="32"/>
        </w:rPr>
        <w:t>（三）加大政策补贴力度。</w:t>
      </w:r>
      <w:r>
        <w:rPr>
          <w:rFonts w:hint="eastAsia"/>
          <w:color w:val="000000"/>
          <w:szCs w:val="32"/>
        </w:rPr>
        <w:t>重点对县城禁燃区内供热、供气管网未覆盖区域实施煤改气、煤改电的居民户，县城禁燃区和各镇区实施煤改气、煤改电的商户，各镇区新增实施电代煤、气代煤民的居民户，开展一次性补贴。</w:t>
      </w:r>
    </w:p>
    <w:p>
      <w:pPr>
        <w:adjustRightInd w:val="0"/>
        <w:snapToGrid w:val="0"/>
        <w:spacing w:line="594" w:lineRule="exact"/>
        <w:ind w:firstLine="632" w:firstLineChars="200"/>
        <w:rPr>
          <w:color w:val="000000"/>
          <w:szCs w:val="32"/>
        </w:rPr>
      </w:pPr>
      <w:r>
        <w:rPr>
          <w:rFonts w:hint="eastAsia"/>
          <w:color w:val="000000"/>
          <w:szCs w:val="32"/>
        </w:rPr>
        <w:t>补贴范围：县城禁燃区内供热、供气管网未覆盖区域及各镇区新增实施电代煤、气代煤的居民户、县城禁燃区和各镇区实施电代煤、气代煤的商户。</w:t>
      </w:r>
    </w:p>
    <w:p>
      <w:pPr>
        <w:adjustRightInd w:val="0"/>
        <w:snapToGrid w:val="0"/>
        <w:spacing w:line="594" w:lineRule="exact"/>
        <w:ind w:firstLine="632" w:firstLineChars="200"/>
        <w:rPr>
          <w:color w:val="000000"/>
          <w:szCs w:val="32"/>
        </w:rPr>
      </w:pPr>
      <w:r>
        <w:rPr>
          <w:rFonts w:hint="eastAsia"/>
          <w:color w:val="000000"/>
          <w:szCs w:val="32"/>
        </w:rPr>
        <w:t>补贴时间：2017年补贴时间从本方案发布之日起至2017年9月30日。对已享受补贴政策的燃煤锅炉拆除改造企业、2017年5月底前已改造的商户、居民用户，不再进行补贴。2018年补贴时间为2017年10月1日至2018年10月31日。补贴资金按照县、镇（区）5</w:t>
      </w:r>
      <w:r>
        <w:rPr>
          <w:rFonts w:ascii="微软雅黑" w:hAnsi="微软雅黑" w:cs="微软雅黑"/>
          <w:color w:val="000000"/>
          <w:szCs w:val="32"/>
        </w:rPr>
        <w:t>︰</w:t>
      </w:r>
      <w:r>
        <w:rPr>
          <w:rFonts w:hint="eastAsia"/>
          <w:color w:val="000000"/>
          <w:szCs w:val="32"/>
        </w:rPr>
        <w:t>5比例承担。</w:t>
      </w:r>
    </w:p>
    <w:p>
      <w:pPr>
        <w:adjustRightInd w:val="0"/>
        <w:snapToGrid w:val="0"/>
        <w:spacing w:line="594" w:lineRule="exact"/>
        <w:ind w:firstLine="632" w:firstLineChars="200"/>
        <w:rPr>
          <w:color w:val="000000"/>
          <w:szCs w:val="32"/>
        </w:rPr>
      </w:pPr>
      <w:r>
        <w:rPr>
          <w:rFonts w:hint="eastAsia"/>
          <w:color w:val="000000"/>
          <w:szCs w:val="32"/>
        </w:rPr>
        <w:t>具体补贴标准如下：</w:t>
      </w:r>
    </w:p>
    <w:p>
      <w:pPr>
        <w:adjustRightInd w:val="0"/>
        <w:snapToGrid w:val="0"/>
        <w:spacing w:line="594" w:lineRule="exact"/>
        <w:ind w:firstLine="632" w:firstLineChars="200"/>
        <w:rPr>
          <w:color w:val="000000"/>
          <w:szCs w:val="32"/>
        </w:rPr>
      </w:pPr>
      <w:r>
        <w:rPr>
          <w:rFonts w:hint="eastAsia"/>
          <w:color w:val="000000"/>
          <w:szCs w:val="32"/>
        </w:rPr>
        <w:t>1．在县城禁燃区及镇区范围内，对新实施灶炉煤改气的商户，2个灶台以下的每户补贴1000元，3个灶台以上（含3灶台）的每户补贴2000元；对实施煤改电商户，每户一次性补贴1000元。</w:t>
      </w:r>
    </w:p>
    <w:p>
      <w:pPr>
        <w:adjustRightInd w:val="0"/>
        <w:snapToGrid w:val="0"/>
        <w:spacing w:line="594" w:lineRule="exact"/>
        <w:ind w:firstLine="632" w:firstLineChars="200"/>
        <w:rPr>
          <w:color w:val="000000"/>
          <w:szCs w:val="32"/>
        </w:rPr>
      </w:pPr>
      <w:r>
        <w:rPr>
          <w:rFonts w:hint="eastAsia"/>
          <w:color w:val="000000"/>
          <w:szCs w:val="32"/>
        </w:rPr>
        <w:t>2．在县城禁燃区及镇区范围内，对不具备集中供热条件、安装使用电采暖设备或燃气采暖设备取代燃煤采暖炉的用户，按照每户500元（城镇低保户800元）标准给予一次性补贴。</w:t>
      </w:r>
    </w:p>
    <w:p>
      <w:pPr>
        <w:adjustRightInd w:val="0"/>
        <w:snapToGrid w:val="0"/>
        <w:spacing w:line="594" w:lineRule="exact"/>
        <w:ind w:firstLine="632" w:firstLineChars="200"/>
        <w:rPr>
          <w:color w:val="000000"/>
          <w:szCs w:val="32"/>
        </w:rPr>
      </w:pPr>
      <w:r>
        <w:rPr>
          <w:rFonts w:hint="eastAsia"/>
          <w:color w:val="000000"/>
          <w:szCs w:val="32"/>
        </w:rPr>
        <w:t>3．在县城禁燃区及镇区范围内，对不具备集中供气条件使用电、气炊具替代厨炊散烧用煤的，按照每户500元（城镇低保户800元）标准给予一次性补贴。</w:t>
      </w:r>
    </w:p>
    <w:p>
      <w:pPr>
        <w:adjustRightInd w:val="0"/>
        <w:snapToGrid w:val="0"/>
        <w:spacing w:line="594" w:lineRule="exact"/>
        <w:ind w:firstLine="632" w:firstLineChars="200"/>
        <w:rPr>
          <w:color w:val="000000"/>
          <w:szCs w:val="32"/>
        </w:rPr>
      </w:pPr>
      <w:r>
        <w:rPr>
          <w:rFonts w:hint="eastAsia"/>
          <w:color w:val="000000"/>
          <w:szCs w:val="32"/>
        </w:rPr>
        <w:t>4．机关、企事业单位等分散式燃煤锅炉拆除，按照孟津县环保局、孟津县财政局《关于印发孟津县分散式燃煤锅炉拆除财政资金补贴办法的通知》（孟环</w:t>
      </w:r>
      <w:r>
        <w:t>〔2017〕</w:t>
      </w:r>
      <w:r>
        <w:rPr>
          <w:rFonts w:hint="eastAsia"/>
          <w:color w:val="000000"/>
          <w:szCs w:val="32"/>
        </w:rPr>
        <w:t>22号）文件规定进行补贴。</w:t>
      </w:r>
    </w:p>
    <w:p>
      <w:pPr>
        <w:adjustRightInd w:val="0"/>
        <w:snapToGrid w:val="0"/>
        <w:spacing w:line="594" w:lineRule="exact"/>
        <w:ind w:firstLine="632" w:firstLineChars="200"/>
        <w:rPr>
          <w:szCs w:val="32"/>
        </w:rPr>
      </w:pPr>
      <w:r>
        <w:rPr>
          <w:rFonts w:hint="eastAsia"/>
          <w:szCs w:val="32"/>
        </w:rPr>
        <w:t>5．县燃气公司、热力公司可根据企业运营实际，结合市、县电代煤、气代煤相关政策，出台相关优惠政策。</w:t>
      </w:r>
    </w:p>
    <w:p>
      <w:pPr>
        <w:adjustRightInd w:val="0"/>
        <w:snapToGrid w:val="0"/>
        <w:spacing w:line="594" w:lineRule="exact"/>
        <w:ind w:firstLine="632" w:firstLineChars="200"/>
        <w:rPr>
          <w:color w:val="000000"/>
          <w:szCs w:val="32"/>
        </w:rPr>
      </w:pPr>
      <w:r>
        <w:rPr>
          <w:rFonts w:hint="eastAsia" w:ascii="楷体_GB2312" w:eastAsia="楷体_GB2312"/>
          <w:color w:val="000000"/>
          <w:szCs w:val="32"/>
        </w:rPr>
        <w:t>（五）加强配套电网、燃气、热力管网建设。</w:t>
      </w:r>
      <w:r>
        <w:rPr>
          <w:rFonts w:hint="eastAsia"/>
          <w:color w:val="000000"/>
          <w:szCs w:val="32"/>
        </w:rPr>
        <w:t>县电力公司负责电能替代改造项目规划红线外配套供电设施投资建设，开辟电能替代项目业务报装“绿色通道”，按照客户需求主动做好布点布线、电网接入等服务工作。燃气、热力公司做好燃气管网规划，加大燃气、热力基础设施投资力度。各相关部门、镇（区）政府应在总体规划中保障电能替代配套电网线路走廊和站址用地规划，简化电能替代配套电网工程审批程序，帮助电网企业、燃气公司、热力公司做好项目征地、拆迁和电力、燃气设施保护等工作。</w:t>
      </w:r>
    </w:p>
    <w:p>
      <w:pPr>
        <w:adjustRightInd w:val="0"/>
        <w:snapToGrid w:val="0"/>
        <w:spacing w:line="594" w:lineRule="exact"/>
        <w:ind w:firstLine="632" w:firstLineChars="200"/>
        <w:rPr>
          <w:rFonts w:ascii="黑体" w:eastAsia="黑体"/>
          <w:color w:val="000000"/>
          <w:szCs w:val="32"/>
        </w:rPr>
      </w:pPr>
      <w:r>
        <w:rPr>
          <w:rFonts w:hint="eastAsia" w:ascii="黑体" w:eastAsia="黑体"/>
          <w:color w:val="000000"/>
          <w:szCs w:val="32"/>
        </w:rPr>
        <w:t>五、组织实施</w:t>
      </w:r>
    </w:p>
    <w:p>
      <w:pPr>
        <w:adjustRightInd w:val="0"/>
        <w:snapToGrid w:val="0"/>
        <w:spacing w:line="594" w:lineRule="exact"/>
        <w:ind w:firstLine="632" w:firstLineChars="200"/>
        <w:rPr>
          <w:color w:val="000000"/>
          <w:szCs w:val="32"/>
        </w:rPr>
      </w:pPr>
      <w:r>
        <w:rPr>
          <w:rFonts w:hint="eastAsia" w:ascii="楷体_GB2312" w:eastAsia="楷体_GB2312"/>
          <w:color w:val="000000"/>
          <w:szCs w:val="32"/>
        </w:rPr>
        <w:t>（一）明确责任分工。</w:t>
      </w:r>
      <w:r>
        <w:rPr>
          <w:rFonts w:hint="eastAsia"/>
          <w:color w:val="000000"/>
          <w:szCs w:val="32"/>
        </w:rPr>
        <w:t>各镇（区）是组织实施电代煤、气代煤工作的第一责任单位，要建立工作机制，将电代煤、气代煤工作纳入议事日程。主要领导亲自抓，分管领导具体抓，落实分解任务，明确专人负责，及时掌握工作进度，建立工作台帐。县电代煤、气代煤推进办公室将实行一周一汇总、一月一通报，确保全县电代煤、气代煤改造任务的顺利完成。</w:t>
      </w:r>
    </w:p>
    <w:p>
      <w:pPr>
        <w:adjustRightInd w:val="0"/>
        <w:snapToGrid w:val="0"/>
        <w:spacing w:line="594" w:lineRule="exact"/>
        <w:ind w:firstLine="632" w:firstLineChars="200"/>
        <w:rPr>
          <w:color w:val="000000"/>
          <w:szCs w:val="32"/>
        </w:rPr>
      </w:pPr>
      <w:r>
        <w:rPr>
          <w:rFonts w:hint="eastAsia"/>
          <w:color w:val="000000"/>
          <w:szCs w:val="32"/>
        </w:rPr>
        <w:t>县发改委作为电代煤、气代煤的牵头单位，做好全县电代煤、气代煤各类项目实施的统筹协调，加大对项目实施进展情况的督察和指导力度。</w:t>
      </w:r>
    </w:p>
    <w:p>
      <w:pPr>
        <w:adjustRightInd w:val="0"/>
        <w:snapToGrid w:val="0"/>
        <w:spacing w:line="594" w:lineRule="exact"/>
        <w:ind w:firstLine="632" w:firstLineChars="200"/>
        <w:rPr>
          <w:color w:val="000000"/>
          <w:szCs w:val="32"/>
        </w:rPr>
      </w:pPr>
      <w:r>
        <w:rPr>
          <w:rFonts w:hint="eastAsia"/>
          <w:color w:val="000000"/>
          <w:szCs w:val="32"/>
        </w:rPr>
        <w:t>县工商局负责强化流通领域商品煤经营主体的监管，取缔无照经营行为。加强流通领域散煤质量监管工作，依法查处销售不合质量标准散煤的违法行为，加快洁净型煤生产、配送中心、销售网点建设。</w:t>
      </w:r>
    </w:p>
    <w:p>
      <w:pPr>
        <w:adjustRightInd w:val="0"/>
        <w:snapToGrid w:val="0"/>
        <w:spacing w:line="594" w:lineRule="exact"/>
        <w:ind w:firstLine="632" w:firstLineChars="200"/>
        <w:rPr>
          <w:color w:val="000000"/>
          <w:szCs w:val="32"/>
        </w:rPr>
      </w:pPr>
      <w:r>
        <w:rPr>
          <w:rFonts w:hint="eastAsia"/>
          <w:color w:val="000000"/>
          <w:szCs w:val="32"/>
        </w:rPr>
        <w:t>县环保局负责将电代煤、气代煤工作全面融入大气污染防治工作，加大环境执法检查力度，按照《洛阳市2017年燃煤散烧设施集中整治实施方案》要求，组织做好工业、商业、机关企事业单位燃煤设施的拆除工作。</w:t>
      </w:r>
    </w:p>
    <w:p>
      <w:pPr>
        <w:adjustRightInd w:val="0"/>
        <w:snapToGrid w:val="0"/>
        <w:spacing w:line="594" w:lineRule="exact"/>
        <w:ind w:firstLine="632" w:firstLineChars="200"/>
        <w:rPr>
          <w:color w:val="000000"/>
          <w:szCs w:val="32"/>
        </w:rPr>
      </w:pPr>
      <w:r>
        <w:rPr>
          <w:rFonts w:hint="eastAsia"/>
          <w:color w:val="000000"/>
          <w:szCs w:val="32"/>
        </w:rPr>
        <w:t>县财政局负责将电代煤、气代煤财政补贴资金列入年度预算，并积极向上争取有关政策资金；会同发改部门加强资金监管，确保资金依法合规使用。</w:t>
      </w:r>
    </w:p>
    <w:p>
      <w:pPr>
        <w:adjustRightInd w:val="0"/>
        <w:snapToGrid w:val="0"/>
        <w:spacing w:line="594" w:lineRule="exact"/>
        <w:ind w:firstLine="632" w:firstLineChars="200"/>
        <w:rPr>
          <w:color w:val="000000"/>
          <w:szCs w:val="32"/>
        </w:rPr>
      </w:pPr>
      <w:r>
        <w:rPr>
          <w:rFonts w:hint="eastAsia"/>
          <w:color w:val="000000"/>
          <w:szCs w:val="32"/>
        </w:rPr>
        <w:t>县质监局负责承压燃煤（油、柴）锅炉的普查和淘汰改造承压锅炉的监督检查、协助和督促使用登记变更手续以及汇总工作。</w:t>
      </w:r>
    </w:p>
    <w:p>
      <w:pPr>
        <w:adjustRightInd w:val="0"/>
        <w:snapToGrid w:val="0"/>
        <w:spacing w:line="594" w:lineRule="exact"/>
        <w:ind w:firstLine="632" w:firstLineChars="200"/>
        <w:rPr>
          <w:color w:val="000000"/>
          <w:szCs w:val="32"/>
        </w:rPr>
      </w:pPr>
      <w:r>
        <w:rPr>
          <w:rFonts w:hint="eastAsia"/>
          <w:color w:val="000000"/>
          <w:szCs w:val="32"/>
        </w:rPr>
        <w:t>县审计局负责做好各项补贴资金支出、使用的审计工作。</w:t>
      </w:r>
    </w:p>
    <w:p>
      <w:pPr>
        <w:adjustRightInd w:val="0"/>
        <w:snapToGrid w:val="0"/>
        <w:spacing w:line="594" w:lineRule="exact"/>
        <w:ind w:firstLine="632" w:firstLineChars="200"/>
        <w:rPr>
          <w:color w:val="000000"/>
          <w:szCs w:val="32"/>
        </w:rPr>
      </w:pPr>
      <w:r>
        <w:rPr>
          <w:rFonts w:hint="eastAsia"/>
          <w:color w:val="000000"/>
          <w:szCs w:val="32"/>
        </w:rPr>
        <w:t>县供电公司作为电代煤的实施主体，负责制定完善相关配套政策，做好电代煤项目实施的技术支持、配套电网建设和供电服务等工作。</w:t>
      </w:r>
    </w:p>
    <w:p>
      <w:pPr>
        <w:adjustRightInd w:val="0"/>
        <w:snapToGrid w:val="0"/>
        <w:spacing w:line="594" w:lineRule="exact"/>
        <w:ind w:firstLine="632" w:firstLineChars="200"/>
        <w:rPr>
          <w:color w:val="000000"/>
          <w:szCs w:val="32"/>
        </w:rPr>
      </w:pPr>
      <w:r>
        <w:rPr>
          <w:rFonts w:hint="eastAsia"/>
          <w:color w:val="000000"/>
          <w:szCs w:val="32"/>
        </w:rPr>
        <w:t>县住建局负责协调集中供热、供气工程相关协调工作。</w:t>
      </w:r>
    </w:p>
    <w:p>
      <w:pPr>
        <w:adjustRightInd w:val="0"/>
        <w:snapToGrid w:val="0"/>
        <w:spacing w:line="594" w:lineRule="exact"/>
        <w:ind w:firstLine="632" w:firstLineChars="200"/>
        <w:rPr>
          <w:color w:val="000000"/>
          <w:szCs w:val="32"/>
        </w:rPr>
      </w:pPr>
      <w:r>
        <w:rPr>
          <w:rFonts w:hint="eastAsia"/>
          <w:color w:val="000000"/>
          <w:szCs w:val="32"/>
        </w:rPr>
        <w:t>进合燃气公司作为气代煤的实施主体，负责制定完善相关配套政策，做好天然气管网、液化天然气入户管线等工程的投资建设，简化报装手续、提供高效服务等工作。</w:t>
      </w:r>
    </w:p>
    <w:p>
      <w:pPr>
        <w:adjustRightInd w:val="0"/>
        <w:snapToGrid w:val="0"/>
        <w:spacing w:line="594" w:lineRule="exact"/>
        <w:ind w:firstLine="632" w:firstLineChars="200"/>
        <w:rPr>
          <w:color w:val="000000"/>
          <w:szCs w:val="32"/>
        </w:rPr>
      </w:pPr>
      <w:r>
        <w:rPr>
          <w:rFonts w:hint="eastAsia"/>
          <w:color w:val="000000"/>
          <w:szCs w:val="32"/>
        </w:rPr>
        <w:t>河南东华鼎盛热力有限公司作为取暖工程的实施主体，负责制定完善相关配套政策，做好供热管网工程的投资建设，简化报装手续、提供高效服务等工作。</w:t>
      </w:r>
    </w:p>
    <w:p>
      <w:pPr>
        <w:adjustRightInd w:val="0"/>
        <w:snapToGrid w:val="0"/>
        <w:spacing w:line="594" w:lineRule="exact"/>
        <w:ind w:firstLine="632" w:firstLineChars="200"/>
        <w:rPr>
          <w:color w:val="000000"/>
          <w:szCs w:val="32"/>
        </w:rPr>
      </w:pPr>
      <w:r>
        <w:rPr>
          <w:rFonts w:hint="eastAsia"/>
          <w:color w:val="000000"/>
          <w:szCs w:val="32"/>
        </w:rPr>
        <w:t>各镇（区）为本辖区电代煤、气代煤工作实施主体，要强化责任落实，确保如期完成工作任务。各社区（村）可结合本集体经济组织实际，对本辖区内积极实施电代煤、气代煤的农户给予适当补贴。</w:t>
      </w:r>
    </w:p>
    <w:p>
      <w:pPr>
        <w:adjustRightInd w:val="0"/>
        <w:snapToGrid w:val="0"/>
        <w:spacing w:line="594" w:lineRule="exact"/>
        <w:ind w:firstLine="632" w:firstLineChars="200"/>
        <w:rPr>
          <w:color w:val="000000"/>
          <w:szCs w:val="32"/>
        </w:rPr>
      </w:pPr>
      <w:r>
        <w:rPr>
          <w:rFonts w:hint="eastAsia" w:ascii="楷体_GB2312" w:eastAsia="楷体_GB2312"/>
          <w:color w:val="000000"/>
          <w:szCs w:val="32"/>
        </w:rPr>
        <w:t>（二）强化施工安全和资金管理。</w:t>
      </w:r>
      <w:r>
        <w:rPr>
          <w:rFonts w:hint="eastAsia"/>
          <w:color w:val="000000"/>
          <w:szCs w:val="32"/>
        </w:rPr>
        <w:t>各镇（区）和相关部门要按照属地和职责分工，落实“党政同责”、“一岗双责”要求，把安全和质量工作贯穿于电代煤、气代煤工作全过程。各相关企业要文明施工、环保施工、安全施工，严把工程质量关，确保又好又快实现工程目标。县财政、发改、环保等相关部门要充分利用国家、省节能环保政策，积极争取各级资金支持，严格落实补贴政策。各镇（区）和县直相关部门要加强补贴资金使用管理，严防骗取、套取补贴行为。</w:t>
      </w:r>
    </w:p>
    <w:p>
      <w:pPr>
        <w:adjustRightInd w:val="0"/>
        <w:snapToGrid w:val="0"/>
        <w:spacing w:line="594" w:lineRule="exact"/>
        <w:ind w:firstLine="632" w:firstLineChars="200"/>
        <w:rPr>
          <w:color w:val="000000"/>
          <w:szCs w:val="32"/>
        </w:rPr>
      </w:pPr>
      <w:r>
        <w:rPr>
          <w:rFonts w:hint="eastAsia" w:ascii="楷体_GB2312" w:eastAsia="楷体_GB2312"/>
          <w:color w:val="000000"/>
          <w:szCs w:val="32"/>
        </w:rPr>
        <w:t>（三）加强调度考核。</w:t>
      </w:r>
      <w:r>
        <w:rPr>
          <w:rFonts w:hint="eastAsia"/>
          <w:color w:val="000000"/>
          <w:szCs w:val="32"/>
        </w:rPr>
        <w:t>建立定期考核通报制度，县电代煤、气代煤推进办公室将依据本方案确定的各项目标任务，定期进行督导通报，及时掌握工作进度，查找存在问题，加强督办考核，确保完成任务。对进展快、成效好的镇（区）予以表彰，并在2017年度大气污染防治专项资金安排上予以倾斜。对进展缓慢、工作不力、套取补贴资金、虚报改造任务与成效等失职渎职、违法违纪行为，取消当年环保评先评优资格，对相关责任人员给予党纪政纪处分。</w:t>
      </w:r>
    </w:p>
    <w:p>
      <w:pPr>
        <w:adjustRightInd w:val="0"/>
        <w:snapToGrid w:val="0"/>
        <w:spacing w:line="594" w:lineRule="exact"/>
        <w:ind w:firstLine="632" w:firstLineChars="200"/>
        <w:rPr>
          <w:color w:val="000000"/>
          <w:szCs w:val="32"/>
        </w:rPr>
      </w:pPr>
      <w:r>
        <w:rPr>
          <w:rFonts w:hint="eastAsia" w:ascii="楷体_GB2312" w:eastAsia="楷体_GB2312"/>
          <w:color w:val="000000"/>
          <w:szCs w:val="32"/>
        </w:rPr>
        <w:t>（四）广泛宣传发动。</w:t>
      </w:r>
      <w:r>
        <w:rPr>
          <w:rFonts w:hint="eastAsia"/>
          <w:color w:val="000000"/>
          <w:szCs w:val="32"/>
        </w:rPr>
        <w:t>由县电代煤、气代煤推进办公室牵头，组织县工商局、发改委、财政局、环保局、质监局、文广新局、新闻中心采取多种形式，向社会宣传解读我县电代煤、气代煤工作的目标任务和主要措施，展示我县实施电代煤、气代煤的决心，不断提高全社会推广使用清洁能源的认知度和自觉性，增强环保意识、自律意识和社会担当意识，形成良好的舆论氛围和强大的工作合力。</w:t>
      </w:r>
    </w:p>
    <w:p>
      <w:pPr>
        <w:adjustRightInd w:val="0"/>
        <w:snapToGrid w:val="0"/>
        <w:spacing w:line="594" w:lineRule="exact"/>
        <w:ind w:firstLine="632" w:firstLineChars="200"/>
        <w:rPr>
          <w:color w:val="000000"/>
          <w:szCs w:val="32"/>
        </w:rPr>
      </w:pPr>
      <w:r>
        <w:rPr>
          <w:color w:val="000000"/>
          <w:szCs w:val="32"/>
        </w:rPr>
        <w:t xml:space="preserve"> </w:t>
      </w:r>
    </w:p>
    <w:p>
      <w:pPr>
        <w:adjustRightInd w:val="0"/>
        <w:snapToGrid w:val="0"/>
        <w:spacing w:line="594" w:lineRule="exact"/>
        <w:ind w:firstLine="632" w:firstLineChars="200"/>
        <w:rPr>
          <w:color w:val="000000"/>
          <w:szCs w:val="32"/>
        </w:rPr>
      </w:pPr>
      <w:r>
        <w:rPr>
          <w:rFonts w:hint="eastAsia"/>
          <w:color w:val="000000"/>
          <w:szCs w:val="32"/>
        </w:rPr>
        <w:t>附件：1．孟津县2017年电代煤、气代煤目标任务分解表</w:t>
      </w:r>
    </w:p>
    <w:p>
      <w:pPr>
        <w:adjustRightInd w:val="0"/>
        <w:snapToGrid w:val="0"/>
        <w:spacing w:line="594" w:lineRule="exact"/>
        <w:ind w:firstLine="632" w:firstLineChars="200"/>
        <w:rPr>
          <w:color w:val="000000"/>
          <w:szCs w:val="32"/>
        </w:rPr>
      </w:pPr>
    </w:p>
    <w:p>
      <w:pPr>
        <w:adjustRightInd w:val="0"/>
        <w:snapToGrid w:val="0"/>
        <w:spacing w:line="594" w:lineRule="exact"/>
        <w:ind w:firstLine="632" w:firstLineChars="200"/>
        <w:rPr>
          <w:color w:val="000000"/>
          <w:szCs w:val="32"/>
        </w:rPr>
      </w:pPr>
    </w:p>
    <w:p>
      <w:pPr>
        <w:adjustRightInd w:val="0"/>
        <w:snapToGrid w:val="0"/>
        <w:spacing w:line="594" w:lineRule="exact"/>
        <w:ind w:firstLine="632" w:firstLineChars="200"/>
        <w:rPr>
          <w:color w:val="000000"/>
          <w:szCs w:val="32"/>
        </w:rPr>
      </w:pPr>
    </w:p>
    <w:p>
      <w:pPr>
        <w:adjustRightInd w:val="0"/>
        <w:snapToGrid w:val="0"/>
        <w:spacing w:line="594" w:lineRule="exact"/>
        <w:ind w:firstLine="632" w:firstLineChars="200"/>
        <w:rPr>
          <w:color w:val="000000"/>
          <w:szCs w:val="32"/>
        </w:rPr>
      </w:pPr>
    </w:p>
    <w:p>
      <w:pPr>
        <w:adjustRightInd w:val="0"/>
        <w:snapToGrid w:val="0"/>
        <w:spacing w:line="594" w:lineRule="exact"/>
        <w:ind w:firstLine="632" w:firstLineChars="200"/>
        <w:rPr>
          <w:color w:val="000000"/>
          <w:szCs w:val="32"/>
        </w:rPr>
      </w:pPr>
    </w:p>
    <w:p>
      <w:pPr>
        <w:adjustRightInd w:val="0"/>
        <w:snapToGrid w:val="0"/>
        <w:spacing w:line="594" w:lineRule="exact"/>
        <w:ind w:firstLine="632" w:firstLineChars="200"/>
        <w:rPr>
          <w:color w:val="000000"/>
          <w:szCs w:val="32"/>
        </w:rPr>
      </w:pPr>
    </w:p>
    <w:p>
      <w:pPr>
        <w:adjustRightInd w:val="0"/>
        <w:snapToGrid w:val="0"/>
        <w:spacing w:line="594" w:lineRule="exact"/>
        <w:ind w:firstLine="632" w:firstLineChars="200"/>
        <w:rPr>
          <w:color w:val="000000"/>
          <w:szCs w:val="32"/>
        </w:rPr>
      </w:pPr>
    </w:p>
    <w:p>
      <w:pPr>
        <w:adjustRightInd w:val="0"/>
        <w:snapToGrid w:val="0"/>
        <w:spacing w:line="100" w:lineRule="exact"/>
      </w:pPr>
    </w:p>
    <w:p>
      <w:pPr>
        <w:adjustRightInd w:val="0"/>
        <w:snapToGrid w:val="0"/>
        <w:spacing w:line="100" w:lineRule="exact"/>
        <w:ind w:firstLine="632" w:firstLineChars="200"/>
      </w:pPr>
    </w:p>
    <w:p>
      <w:pPr>
        <w:adjustRightInd w:val="0"/>
        <w:snapToGrid w:val="0"/>
        <w:spacing w:line="100" w:lineRule="exact"/>
        <w:ind w:firstLine="632" w:firstLineChars="200"/>
      </w:pPr>
    </w:p>
    <w:p>
      <w:pPr>
        <w:adjustRightInd w:val="0"/>
        <w:snapToGrid w:val="0"/>
        <w:spacing w:line="100" w:lineRule="exact"/>
        <w:ind w:firstLine="632" w:firstLineChars="200"/>
      </w:pPr>
    </w:p>
    <w:p>
      <w:pPr>
        <w:adjustRightInd w:val="0"/>
        <w:snapToGrid w:val="0"/>
        <w:spacing w:line="60" w:lineRule="exact"/>
      </w:pPr>
    </w:p>
    <w:p>
      <w:pPr>
        <w:adjustRightInd w:val="0"/>
        <w:snapToGrid w:val="0"/>
        <w:spacing w:line="60" w:lineRule="exact"/>
        <w:ind w:firstLine="632" w:firstLineChars="200"/>
      </w:pPr>
    </w:p>
    <w:p>
      <w:pPr>
        <w:adjustRightInd w:val="0"/>
        <w:snapToGrid w:val="0"/>
        <w:spacing w:line="60" w:lineRule="exact"/>
        <w:ind w:firstLine="632" w:firstLineChars="200"/>
      </w:pPr>
    </w:p>
    <w:p>
      <w:pPr>
        <w:adjustRightInd w:val="0"/>
        <w:snapToGrid w:val="0"/>
        <w:spacing w:line="60" w:lineRule="exact"/>
        <w:ind w:firstLine="632" w:firstLineChars="200"/>
      </w:pPr>
    </w:p>
    <w:p>
      <w:pPr>
        <w:adjustRightInd w:val="0"/>
        <w:snapToGrid w:val="0"/>
        <w:spacing w:line="60" w:lineRule="exact"/>
        <w:ind w:firstLine="632" w:firstLineChars="200"/>
      </w:pPr>
    </w:p>
    <w:p>
      <w:pPr>
        <w:adjustRightInd w:val="0"/>
        <w:snapToGrid w:val="0"/>
        <w:spacing w:line="60" w:lineRule="exact"/>
        <w:ind w:firstLine="632" w:firstLineChars="200"/>
      </w:pPr>
    </w:p>
    <w:p>
      <w:pPr>
        <w:adjustRightInd w:val="0"/>
        <w:snapToGrid w:val="0"/>
        <w:spacing w:line="60" w:lineRule="exact"/>
        <w:ind w:firstLine="632" w:firstLineChars="200"/>
      </w:pPr>
    </w:p>
    <w:p>
      <w:pPr>
        <w:adjustRightInd w:val="0"/>
        <w:snapToGrid w:val="0"/>
        <w:spacing w:line="60" w:lineRule="exact"/>
        <w:ind w:firstLine="632" w:firstLineChars="200"/>
      </w:pPr>
    </w:p>
    <w:p>
      <w:pPr>
        <w:adjustRightInd w:val="0"/>
        <w:snapToGrid w:val="0"/>
        <w:spacing w:line="60" w:lineRule="exact"/>
        <w:ind w:firstLine="632" w:firstLineChars="200"/>
      </w:pPr>
    </w:p>
    <w:p>
      <w:pPr>
        <w:adjustRightInd w:val="0"/>
        <w:snapToGrid w:val="0"/>
        <w:spacing w:line="60" w:lineRule="exact"/>
        <w:ind w:firstLine="632" w:firstLineChars="200"/>
      </w:pPr>
    </w:p>
    <w:tbl>
      <w:tblPr>
        <w:tblStyle w:val="7"/>
        <w:tblW w:w="8844" w:type="dxa"/>
        <w:tblInd w:w="0" w:type="dxa"/>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Layout w:type="fixed"/>
        <w:tblCellMar>
          <w:top w:w="0" w:type="dxa"/>
          <w:left w:w="0" w:type="dxa"/>
          <w:bottom w:w="0" w:type="dxa"/>
          <w:right w:w="0" w:type="dxa"/>
        </w:tblCellMar>
      </w:tblPr>
      <w:tblGrid>
        <w:gridCol w:w="8844"/>
      </w:tblGrid>
      <w:tr>
        <w:tblPrEx>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Layout w:type="fixed"/>
          <w:tblCellMar>
            <w:top w:w="0" w:type="dxa"/>
            <w:left w:w="0" w:type="dxa"/>
            <w:bottom w:w="0" w:type="dxa"/>
            <w:right w:w="0" w:type="dxa"/>
          </w:tblCellMar>
        </w:tblPrEx>
        <w:trPr>
          <w:trHeight w:val="680" w:hRule="exact"/>
        </w:trPr>
        <w:tc>
          <w:tcPr>
            <w:tcW w:w="8844" w:type="dxa"/>
          </w:tcPr>
          <w:p>
            <w:pPr>
              <w:adjustRightInd w:val="0"/>
              <w:snapToGrid w:val="0"/>
              <w:spacing w:line="590" w:lineRule="exact"/>
              <w:rPr>
                <w:sz w:val="28"/>
                <w:szCs w:val="28"/>
              </w:rPr>
            </w:pPr>
            <w:r>
              <w:rPr>
                <w:color w:val="FFFFFF"/>
                <w:szCs w:val="32"/>
              </w:rPr>
              <w:t>我</w:t>
            </w:r>
            <w:r>
              <w:rPr>
                <w:sz w:val="28"/>
                <w:szCs w:val="28"/>
              </w:rPr>
              <w:t>主办：</w:t>
            </w:r>
            <w:r>
              <w:rPr>
                <w:rFonts w:hint="eastAsia"/>
                <w:sz w:val="28"/>
                <w:szCs w:val="28"/>
              </w:rPr>
              <w:t>县发改委</w:t>
            </w:r>
            <w:r>
              <w:rPr>
                <w:sz w:val="28"/>
                <w:szCs w:val="28"/>
              </w:rPr>
              <w:t xml:space="preserve">                          督办：</w:t>
            </w:r>
            <w:r>
              <w:rPr>
                <w:rFonts w:hint="eastAsia"/>
                <w:sz w:val="28"/>
                <w:szCs w:val="28"/>
              </w:rPr>
              <w:t>县</w:t>
            </w:r>
            <w:r>
              <w:rPr>
                <w:sz w:val="28"/>
                <w:szCs w:val="28"/>
              </w:rPr>
              <w:t>政府办秘书科</w:t>
            </w:r>
            <w:r>
              <w:rPr>
                <w:color w:val="FFFFFF"/>
                <w:szCs w:val="32"/>
              </w:rPr>
              <w:t>我</w:t>
            </w:r>
          </w:p>
        </w:tc>
      </w:tr>
      <w:tr>
        <w:tblPrEx>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Layout w:type="fixed"/>
          <w:tblCellMar>
            <w:top w:w="0" w:type="dxa"/>
            <w:left w:w="0" w:type="dxa"/>
            <w:bottom w:w="0" w:type="dxa"/>
            <w:right w:w="0" w:type="dxa"/>
          </w:tblCellMar>
        </w:tblPrEx>
        <w:trPr>
          <w:trHeight w:val="680" w:hRule="exact"/>
        </w:trPr>
        <w:tc>
          <w:tcPr>
            <w:tcW w:w="8844" w:type="dxa"/>
          </w:tcPr>
          <w:p>
            <w:pPr>
              <w:adjustRightInd w:val="0"/>
              <w:snapToGrid w:val="0"/>
              <w:spacing w:line="590" w:lineRule="exact"/>
              <w:rPr>
                <w:color w:val="FFFFFF"/>
                <w:szCs w:val="32"/>
              </w:rPr>
            </w:pPr>
            <w:r>
              <w:rPr>
                <w:color w:val="FFFFFF"/>
                <w:szCs w:val="32"/>
              </w:rPr>
              <w:t>我</w:t>
            </w:r>
            <w:r>
              <w:rPr>
                <w:sz w:val="28"/>
                <w:szCs w:val="28"/>
              </w:rPr>
              <w:t>孟津县人民政府办公室                    2017年6月19日印发</w:t>
            </w:r>
            <w:r>
              <w:rPr>
                <w:color w:val="FFFFFF"/>
                <w:szCs w:val="32"/>
              </w:rPr>
              <w:t>我</w:t>
            </w:r>
          </w:p>
        </w:tc>
      </w:tr>
    </w:tbl>
    <w:p>
      <w:pPr>
        <w:adjustRightInd w:val="0"/>
        <w:snapToGrid w:val="0"/>
        <w:spacing w:line="60" w:lineRule="exact"/>
      </w:pPr>
    </w:p>
    <w:sectPr>
      <w:headerReference r:id="rId3" w:type="default"/>
      <w:footerReference r:id="rId4" w:type="default"/>
      <w:footerReference r:id="rId5" w:type="even"/>
      <w:pgSz w:w="11906" w:h="16838"/>
      <w:pgMar w:top="1871" w:right="1531" w:bottom="1758" w:left="1531" w:header="851" w:footer="1588" w:gutter="0"/>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622" w:wrap="around" w:vAnchor="text" w:hAnchor="margin" w:xAlign="outside" w:y="9"/>
      <w:tabs>
        <w:tab w:val="left" w:pos="312"/>
        <w:tab w:val="left" w:pos="1248"/>
        <w:tab w:val="left" w:pos="1386"/>
      </w:tabs>
      <w:jc w:val="center"/>
      <w:rPr>
        <w:rStyle w:val="6"/>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13</w:t>
    </w:r>
    <w:r>
      <w:rPr>
        <w:sz w:val="28"/>
        <w:szCs w:val="28"/>
      </w:rPr>
      <w:fldChar w:fldCharType="end"/>
    </w:r>
    <w:r>
      <w:rPr>
        <w:rStyle w:val="6"/>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1FAA"/>
    <w:rsid w:val="00087FF7"/>
    <w:rsid w:val="000D1335"/>
    <w:rsid w:val="001060EC"/>
    <w:rsid w:val="00172A27"/>
    <w:rsid w:val="001B23F8"/>
    <w:rsid w:val="002141E5"/>
    <w:rsid w:val="00280615"/>
    <w:rsid w:val="00333FFC"/>
    <w:rsid w:val="005B7E3D"/>
    <w:rsid w:val="005C0AB0"/>
    <w:rsid w:val="005C6F66"/>
    <w:rsid w:val="005F5FF9"/>
    <w:rsid w:val="00600114"/>
    <w:rsid w:val="006068E4"/>
    <w:rsid w:val="007C4C73"/>
    <w:rsid w:val="007F375F"/>
    <w:rsid w:val="00803DE3"/>
    <w:rsid w:val="008230FE"/>
    <w:rsid w:val="008C17DE"/>
    <w:rsid w:val="00D0098A"/>
    <w:rsid w:val="00D64AA9"/>
    <w:rsid w:val="00D97B1B"/>
    <w:rsid w:val="00DB5DD4"/>
    <w:rsid w:val="00EE105D"/>
    <w:rsid w:val="00FD0028"/>
    <w:rsid w:val="031D0532"/>
    <w:rsid w:val="041E6A58"/>
    <w:rsid w:val="07353477"/>
    <w:rsid w:val="0AAC7470"/>
    <w:rsid w:val="0ADC2B6D"/>
    <w:rsid w:val="16911CED"/>
    <w:rsid w:val="18727AE2"/>
    <w:rsid w:val="1CCA38FB"/>
    <w:rsid w:val="1EEF6F48"/>
    <w:rsid w:val="1F87547E"/>
    <w:rsid w:val="1FB57CC9"/>
    <w:rsid w:val="224D06DC"/>
    <w:rsid w:val="28A2081C"/>
    <w:rsid w:val="2DAE215C"/>
    <w:rsid w:val="2FF82B40"/>
    <w:rsid w:val="35463879"/>
    <w:rsid w:val="35A27483"/>
    <w:rsid w:val="369F1E71"/>
    <w:rsid w:val="38836161"/>
    <w:rsid w:val="3B4B5998"/>
    <w:rsid w:val="3B6B1701"/>
    <w:rsid w:val="3D9A2C96"/>
    <w:rsid w:val="41E147BA"/>
    <w:rsid w:val="430E1EDC"/>
    <w:rsid w:val="435A06CB"/>
    <w:rsid w:val="44392741"/>
    <w:rsid w:val="44735B96"/>
    <w:rsid w:val="466A1C7A"/>
    <w:rsid w:val="46976CCA"/>
    <w:rsid w:val="563D5DE1"/>
    <w:rsid w:val="5AA0109A"/>
    <w:rsid w:val="5AF9612E"/>
    <w:rsid w:val="6980706C"/>
    <w:rsid w:val="709005CF"/>
    <w:rsid w:val="710A593B"/>
    <w:rsid w:val="71AC49D7"/>
    <w:rsid w:val="72314957"/>
    <w:rsid w:val="773428C7"/>
    <w:rsid w:val="77950925"/>
    <w:rsid w:val="788F7726"/>
    <w:rsid w:val="7B2422B9"/>
    <w:rsid w:val="7D11387B"/>
    <w:rsid w:val="7F98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Char Char Char1 Char Char Char Char"/>
    <w:basedOn w:val="1"/>
    <w:qFormat/>
    <w:uiPriority w:val="0"/>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13</Pages>
  <Words>787</Words>
  <Characters>4487</Characters>
  <Lines>37</Lines>
  <Paragraphs>10</Paragraphs>
  <ScaleCrop>false</ScaleCrop>
  <LinksUpToDate>false</LinksUpToDate>
  <CharactersWithSpaces>5264</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2017-06-13T08:33:00Z</dcterms:created>
  <dc:creator>Lenovo User</dc:creator>
  <cp:lastModifiedBy>Administrator</cp:lastModifiedBy>
  <cp:lastPrinted>2017-07-17T03:52:07Z</cp:lastPrinted>
  <dcterms:modified xsi:type="dcterms:W3CDTF">2017-07-17T03:52:37Z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