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2" w:tblpY="2080"/>
        <w:tblOverlap w:val="never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0"/>
        <w:gridCol w:w="2155"/>
        <w:gridCol w:w="863"/>
        <w:gridCol w:w="1704"/>
        <w:gridCol w:w="2066"/>
      </w:tblGrid>
      <w:tr w14:paraId="2164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调整前主要技术经济指标</w:t>
            </w:r>
          </w:p>
        </w:tc>
      </w:tr>
      <w:tr w14:paraId="7D11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指数名称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2B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总用地面积（用地红线）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133283.33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57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建设用地面积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133283.33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6E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53399.26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7B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53399.26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D2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A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3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E0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D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计容总面积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86073.52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建、构筑物单层层高超过8米时，加倍计算计容面积</w:t>
            </w:r>
          </w:p>
        </w:tc>
      </w:tr>
      <w:tr w14:paraId="33AB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8B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生产性用房面积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81327.78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7C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3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非生产性用房面积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4745.74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2C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容积率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3F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4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行政办公及生活服务设施用地面积占总用地面积比例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ED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2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行政办公及生活服务设施建筑面积占总建筑面积比例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37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E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建、构筑物占地面积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44705.14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5D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建筑系数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40.11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EE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绿化面积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26342.05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D5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绿地率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19.76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86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机动车停车位(地上)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机动车0.3个车位/100㎡非机动车0.3个车位/100㎡</w:t>
            </w:r>
          </w:p>
        </w:tc>
      </w:tr>
      <w:tr w14:paraId="3975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充电车位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62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D4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8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D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普通车位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E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87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非机动车停车位（地上）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77E9F054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调整前主要技术经济指标</w:t>
      </w:r>
    </w:p>
    <w:p w14:paraId="2B6E95DF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2A904181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4B579088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调整后主要技术经济指标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32"/>
        <w:gridCol w:w="2288"/>
        <w:gridCol w:w="993"/>
        <w:gridCol w:w="1786"/>
        <w:gridCol w:w="2544"/>
      </w:tblGrid>
      <w:tr w14:paraId="1FA9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4A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调整后主要技术经济指标</w:t>
            </w:r>
          </w:p>
        </w:tc>
      </w:tr>
      <w:tr w14:paraId="4F34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33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E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指数名称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3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78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0D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31E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50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A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总用地面积（用地红线）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B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133283.33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6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3BE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3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建设用地面积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E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B9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133283.33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5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090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49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总建筑面积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9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55375.26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B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AEC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56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0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0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B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55375.26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51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A42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EEE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8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B0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A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76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F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851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2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5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计容总面积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E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87828.08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D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建、构筑物单层层高超过8米时，加倍计算计容面积</w:t>
            </w:r>
          </w:p>
        </w:tc>
      </w:tr>
      <w:tr w14:paraId="4990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1B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3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生产性用房面积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24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C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82889.20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8C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9FE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B7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4F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A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非生产性用房面积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4938.88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6E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84F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AF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容积率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F1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B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96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078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97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3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行政办公及生活服务设施用地面积占总用地面积比例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E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8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5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70A0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C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1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行政办公及生活服务设施建筑面积占总建筑面积比例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D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4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8.92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8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372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E4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1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建、构筑物占地面积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F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40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45452.09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7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2B7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B4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4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建筑系数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F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A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40.67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4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8CF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2A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3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绿化面积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E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6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26342.05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0B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0AC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38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1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绿地率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C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7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19.76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8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50F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5C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C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机动车停车位(地上)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7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8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144 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4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机动车0.3个车位/100㎡非机动车0.3个车位/100㎡</w:t>
            </w:r>
          </w:p>
        </w:tc>
      </w:tr>
      <w:tr w14:paraId="157A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8DF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6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B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充电车位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D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86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CAC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F2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39B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E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13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普通车位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D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123 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2F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C3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34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D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非机动车停车位（地上）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E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A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 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A69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46C7D23">
      <w:pPr>
        <w:numPr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75CBE"/>
    <w:multiLevelType w:val="singleLevel"/>
    <w:tmpl w:val="ED475C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D726B"/>
    <w:rsid w:val="13B567D8"/>
    <w:rsid w:val="13BB7B66"/>
    <w:rsid w:val="16EA2C3C"/>
    <w:rsid w:val="1D682B0D"/>
    <w:rsid w:val="23422B45"/>
    <w:rsid w:val="25E90563"/>
    <w:rsid w:val="2C0B5AA4"/>
    <w:rsid w:val="3FFA53EF"/>
    <w:rsid w:val="4AF97A1B"/>
    <w:rsid w:val="56ED2D52"/>
    <w:rsid w:val="6AD93CCF"/>
    <w:rsid w:val="74597C2E"/>
    <w:rsid w:val="7AA00365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2025-08-13T03:02:55Z</dcterms:created>
  <dc:creator>Administrator</dc:creator>
  <cp:lastModifiedBy>Administrator</cp:lastModifiedBy>
  <dcterms:modified xsi:type="dcterms:W3CDTF">2025-08-13T03:18:32Z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eyJoZGlkIjoiMzdjMjdjNTBkMmVhMjU2OTY2NGEyNjQ1YTNiMThlM2EifQ==</vt:lpwstr>
  </property>
  <property fmtid="{D5CDD505-2E9C-101B-9397-08002B2CF9AE}" pid="4" name="ICV">
    <vt:lpwstr>36C5EA7B4BDA45F3B3B8BF0EBB94EAC1_12</vt:lpwstr>
  </property>
</Properties>
</file>