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600" w:lineRule="exact"/>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孟政规—202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—00</w:t>
      </w:r>
      <w:r>
        <w:rPr>
          <w:rFonts w:hint="eastAsia" w:ascii="Times New Roman" w:hAnsi="Times New Roman" w:eastAsia="仿宋_GB2312" w:cs="Times New Roman"/>
          <w:color w:val="000000"/>
          <w:sz w:val="32"/>
          <w:szCs w:val="32"/>
          <w:lang w:val="en-US" w:eastAsia="zh-CN"/>
        </w:rPr>
        <w:t>5</w:t>
      </w:r>
    </w:p>
    <w:p>
      <w:pPr>
        <w:keepNext w:val="0"/>
        <w:keepLines w:val="0"/>
        <w:pageBreakBefore w:val="0"/>
        <w:widowControl w:val="0"/>
        <w:kinsoku/>
        <w:overflowPunct/>
        <w:topLinePunct w:val="0"/>
        <w:autoSpaceDE/>
        <w:autoSpaceDN/>
        <w:bidi w:val="0"/>
        <w:adjustRightInd/>
        <w:spacing w:line="600" w:lineRule="exact"/>
        <w:jc w:val="left"/>
        <w:textAlignment w:val="auto"/>
        <w:rPr>
          <w:rFonts w:hint="eastAsia" w:ascii="Times New Roman" w:hAnsi="Times New Roman" w:eastAsia="仿宋_GB2312" w:cs="Times New Roman"/>
          <w:color w:val="000000"/>
          <w:sz w:val="32"/>
          <w:szCs w:val="32"/>
          <w:lang w:eastAsia="zh-CN"/>
        </w:rPr>
      </w:pPr>
    </w:p>
    <w:p>
      <w:pPr>
        <w:keepNext w:val="0"/>
        <w:keepLines w:val="0"/>
        <w:pageBreakBefore w:val="0"/>
        <w:widowControl w:val="0"/>
        <w:kinsoku/>
        <w:overflowPunct/>
        <w:topLinePunct w:val="0"/>
        <w:autoSpaceDE/>
        <w:autoSpaceDN/>
        <w:bidi w:val="0"/>
        <w:adjustRightInd/>
        <w:spacing w:line="600" w:lineRule="exact"/>
        <w:jc w:val="left"/>
        <w:textAlignment w:val="auto"/>
        <w:rPr>
          <w:rFonts w:hint="default" w:ascii="Times New Roman" w:hAnsi="Times New Roman" w:eastAsia="黑体" w:cs="Times New Roman"/>
          <w:color w:val="000000"/>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rPr>
        <mc:AlternateContent>
          <mc:Choice Requires="wps">
            <w:drawing>
              <wp:anchor distT="0" distB="0" distL="114300" distR="114300" simplePos="0" relativeHeight="251661312" behindDoc="0" locked="0" layoutInCell="1" allowOverlap="1">
                <wp:simplePos x="0" y="0"/>
                <wp:positionH relativeFrom="column">
                  <wp:posOffset>-796290</wp:posOffset>
                </wp:positionH>
                <wp:positionV relativeFrom="paragraph">
                  <wp:posOffset>204470</wp:posOffset>
                </wp:positionV>
                <wp:extent cx="635" cy="127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635"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2.7pt;margin-top:16.1pt;height:0.1pt;width:0.05pt;z-index:251661312;mso-width-relative:page;mso-height-relative:page;" filled="f" stroked="t" coordsize="21600,21600" o:gfxdata="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BiLq1wAA&#10;AAsBAAAPAAAAAAAAAAEAIAAAACIAAABkcnMvZG93bnJldi54bWxQSwECFAAUAAAACACHTuJAoQDS&#10;o+YBAACvAwAADgAAAAAAAAABACAAAAAmAQAAZHJzL2Uyb0RvYy54bWxQSwUGAAAAAAYABgBZAQAA&#10;fgUAAAAA&#10;">
                <v:fill on="f" focussize="0,0"/>
                <v:stroke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60" w:lineRule="exact"/>
        <w:ind w:left="108"/>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仿宋_GB2312" w:cs="Times New Roman"/>
          <w:color w:val="000000"/>
          <w:sz w:val="32"/>
          <w:szCs w:val="32"/>
        </w:rPr>
        <w:t>孟政</w:t>
      </w:r>
      <w:r>
        <w:rPr>
          <w:rFonts w:hint="eastAsia" w:ascii="Times New Roman" w:hAnsi="Times New Roman" w:eastAsia="仿宋_GB2312" w:cs="Times New Roman"/>
          <w:color w:val="000000"/>
          <w:sz w:val="32"/>
          <w:szCs w:val="32"/>
          <w:lang w:eastAsia="zh-CN"/>
        </w:rPr>
        <w:t>办</w:t>
      </w:r>
      <w:r>
        <w:rPr>
          <w:rFonts w:hint="default"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w:t>
      </w:r>
      <w:r>
        <w:rPr>
          <w:rFonts w:hint="eastAsia" w:ascii="Times New Roman" w:hAnsi="Times New Roman" w:cs="Times New Roman"/>
          <w:color w:val="000000"/>
          <w:sz w:val="32"/>
          <w:szCs w:val="32"/>
          <w:shd w:val="clear" w:color="auto" w:fill="auto"/>
          <w:lang w:val="en-US" w:eastAsia="zh-CN"/>
        </w:rPr>
        <w:t>11</w:t>
      </w:r>
      <w:r>
        <w:rPr>
          <w:rFonts w:hint="default" w:ascii="Times New Roman" w:hAnsi="Times New Roman" w:eastAsia="仿宋_GB2312" w:cs="Times New Roman"/>
          <w:color w:val="000000"/>
          <w:sz w:val="32"/>
          <w:szCs w:val="32"/>
        </w:rPr>
        <w:t>号</w:t>
      </w: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0" w:lineRule="exact"/>
        <w:jc w:val="center"/>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洛阳市孟津区人民政府办公室</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b w:val="0"/>
          <w:bCs w:val="0"/>
          <w:color w:val="auto"/>
          <w:sz w:val="44"/>
          <w:szCs w:val="44"/>
          <w:shd w:val="clear" w:color="auto" w:fill="FFFFFF"/>
          <w:lang w:eastAsia="zh-CN"/>
        </w:rPr>
        <w:t>《</w:t>
      </w:r>
      <w:r>
        <w:rPr>
          <w:rFonts w:hint="eastAsia" w:ascii="方正小标宋简体" w:hAnsi="方正小标宋简体" w:eastAsia="方正小标宋简体" w:cs="方正小标宋简体"/>
          <w:b w:val="0"/>
          <w:bCs w:val="0"/>
          <w:sz w:val="44"/>
          <w:szCs w:val="44"/>
        </w:rPr>
        <w:t>孟津区集体经营性建设用地入市</w:t>
      </w: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rPr>
        <w:t>相关税费调节金征管办法（试行）</w:t>
      </w:r>
      <w:r>
        <w:rPr>
          <w:rFonts w:hint="eastAsia" w:ascii="方正小标宋简体" w:hAnsi="方正小标宋简体" w:eastAsia="方正小标宋简体" w:cs="方正小标宋简体"/>
          <w:b w:val="0"/>
          <w:bCs w:val="0"/>
          <w:color w:val="auto"/>
          <w:sz w:val="44"/>
          <w:szCs w:val="44"/>
          <w:shd w:val="clear" w:color="auto" w:fill="FFFFFF"/>
          <w:lang w:eastAsia="zh-CN"/>
        </w:rPr>
        <w:t>》</w:t>
      </w:r>
      <w:r>
        <w:rPr>
          <w:rFonts w:hint="eastAsia" w:ascii="方正小标宋简体" w:hAnsi="方正小标宋简体" w:eastAsia="方正小标宋简体" w:cs="方正小标宋简体"/>
          <w:b w:val="0"/>
          <w:bCs w:val="0"/>
          <w:color w:val="auto"/>
          <w:sz w:val="44"/>
          <w:szCs w:val="44"/>
          <w:shd w:val="clear" w:color="auto" w:fill="FFFFFF"/>
          <w:lang w:val="en-US" w:eastAsia="zh-CN"/>
        </w:rPr>
        <w:t>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lang w:val="en-US" w:eastAsia="zh-CN"/>
        </w:rPr>
      </w:pPr>
    </w:p>
    <w:p>
      <w:pPr>
        <w:spacing w:line="600" w:lineRule="exact"/>
        <w:jc w:val="both"/>
        <w:rPr>
          <w:rFonts w:hint="eastAsia" w:ascii="宋体" w:hAnsi="宋体" w:eastAsia="宋体" w:cs="宋体"/>
          <w:b/>
          <w:bCs/>
          <w:color w:val="auto"/>
          <w:sz w:val="44"/>
          <w:szCs w:val="44"/>
        </w:rPr>
      </w:pPr>
      <w:r>
        <w:rPr>
          <w:rFonts w:hint="eastAsia" w:ascii="仿宋_GB2312" w:hAnsi="仿宋_GB2312" w:eastAsia="仿宋_GB2312" w:cs="仿宋_GB2312"/>
          <w:sz w:val="32"/>
          <w:szCs w:val="32"/>
          <w:lang w:val="en-US" w:eastAsia="zh-CN"/>
        </w:rPr>
        <w:t>各镇（街道）人民政府（办事处）、</w:t>
      </w:r>
      <w:r>
        <w:rPr>
          <w:rFonts w:hint="eastAsia" w:ascii="仿宋_GB2312" w:hAnsi="仿宋_GB2312" w:eastAsia="仿宋_GB2312" w:cs="仿宋_GB2312"/>
          <w:color w:val="auto"/>
          <w:sz w:val="32"/>
          <w:szCs w:val="32"/>
          <w:shd w:val="clear" w:color="auto" w:fill="auto"/>
          <w:lang w:val="en-US" w:eastAsia="zh-CN"/>
        </w:rPr>
        <w:t>区先进制造业开发区管委会，区人民政府各部门、</w:t>
      </w:r>
      <w:r>
        <w:rPr>
          <w:rFonts w:hint="eastAsia" w:ascii="仿宋_GB2312" w:hAnsi="仿宋_GB2312" w:eastAsia="仿宋_GB2312" w:cs="仿宋_GB2312"/>
          <w:sz w:val="32"/>
          <w:szCs w:val="32"/>
          <w:lang w:val="en-US" w:eastAsia="zh-CN"/>
        </w:rPr>
        <w:t>各有关单位：</w:t>
      </w:r>
    </w:p>
    <w:p>
      <w:pPr>
        <w:spacing w:line="580" w:lineRule="exact"/>
        <w:ind w:firstLine="640" w:firstLineChars="200"/>
        <w:jc w:val="both"/>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eastAsia="zh-CN"/>
        </w:rPr>
        <w:t>《孟津区集体经营性建设用地入市相关税费调节金征管办法（试行）》</w:t>
      </w:r>
      <w:r>
        <w:rPr>
          <w:rFonts w:hint="eastAsia" w:ascii="仿宋_GB2312" w:hAnsi="仿宋_GB2312" w:eastAsia="仿宋_GB2312" w:cs="仿宋_GB2312"/>
          <w:b w:val="0"/>
          <w:bCs w:val="0"/>
          <w:color w:val="auto"/>
          <w:sz w:val="32"/>
          <w:szCs w:val="32"/>
          <w:shd w:val="clear" w:color="auto" w:fill="FFFFFF"/>
          <w:lang w:val="en-US" w:eastAsia="zh-CN"/>
        </w:rPr>
        <w:t>已经区政府同意，现印发给你们，请认真贯彻落实。</w:t>
      </w:r>
    </w:p>
    <w:p>
      <w:pPr>
        <w:keepNext w:val="0"/>
        <w:keepLines w:val="0"/>
        <w:pageBreakBefore w:val="0"/>
        <w:widowControl w:val="0"/>
        <w:kinsoku/>
        <w:wordWrap/>
        <w:overflowPunct/>
        <w:topLinePunct w:val="0"/>
        <w:autoSpaceDE/>
        <w:autoSpaceDN/>
        <w:bidi w:val="0"/>
        <w:adjustRightInd/>
        <w:snapToGrid/>
        <w:spacing w:line="1920" w:lineRule="exact"/>
        <w:textAlignment w:val="auto"/>
        <w:rPr>
          <w:rFonts w:hint="eastAsia" w:ascii="Times New Roman" w:hAnsi="Times New Roman" w:eastAsia="仿宋_GB2312" w:cs="Times New Roman"/>
          <w:sz w:val="32"/>
          <w:szCs w:val="48"/>
          <w:lang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eastAsia="仿宋_GB2312" w:cs="Times New Roman"/>
          <w:sz w:val="32"/>
          <w:szCs w:val="48"/>
        </w:rPr>
      </w:pPr>
    </w:p>
    <w:p>
      <w:pPr>
        <w:pStyle w:val="2"/>
        <w:ind w:firstLine="5120" w:firstLineChars="1600"/>
        <w:rPr>
          <w:rFonts w:hint="eastAsia" w:ascii="Times New Roman" w:hAnsi="Times New Roman" w:eastAsia="仿宋_GB2312" w:cs="Times New Roman"/>
          <w:color w:val="FFFFFF" w:themeColor="background1"/>
          <w:sz w:val="32"/>
          <w:szCs w:val="32"/>
          <w:lang w:val="en-US" w:eastAsia="zh-CN"/>
          <w14:textFill>
            <w14:solidFill>
              <w14:schemeClr w14:val="bg1"/>
            </w14:solidFill>
          </w14:textFill>
        </w:rPr>
      </w:pPr>
      <w:r>
        <w:rPr>
          <w:rFonts w:hint="default" w:ascii="Times New Roman" w:hAnsi="Times New Roman" w:eastAsia="仿宋_GB2312" w:cs="Times New Roman"/>
          <w:sz w:val="32"/>
          <w:szCs w:val="32"/>
          <w:lang w:val="en-US" w:eastAsia="zh-CN"/>
        </w:rPr>
        <w:t>2024年3月29日</w:t>
      </w:r>
      <w:r>
        <w:rPr>
          <w:rFonts w:hint="eastAsia" w:ascii="Times New Roman" w:hAnsi="Times New Roman" w:eastAsia="仿宋_GB2312" w:cs="Times New Roman"/>
          <w:color w:val="FFFFFF" w:themeColor="background1"/>
          <w:sz w:val="32"/>
          <w:szCs w:val="32"/>
          <w:lang w:val="en-US" w:eastAsia="zh-CN"/>
          <w14:textFill>
            <w14:solidFill>
              <w14:schemeClr w14:val="bg1"/>
            </w14:solidFill>
          </w14:textFill>
        </w:rPr>
        <w:t>我我我我</w:t>
      </w:r>
    </w:p>
    <w:bookmarkEnd w:id="0"/>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孟津区集体经营性建设用地入市相关税费</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调节金征管办法（试行）</w:t>
      </w:r>
    </w:p>
    <w:p>
      <w:pPr>
        <w:pStyle w:val="21"/>
        <w:keepNext w:val="0"/>
        <w:keepLines w:val="0"/>
        <w:pageBreakBefore w:val="0"/>
        <w:widowControl w:val="0"/>
        <w:kinsoku/>
        <w:wordWrap/>
        <w:overflowPunct/>
        <w:topLinePunct/>
        <w:autoSpaceDE/>
        <w:autoSpaceDN/>
        <w:bidi w:val="0"/>
        <w:adjustRightInd/>
        <w:snapToGrid/>
        <w:spacing w:line="500" w:lineRule="exact"/>
        <w:textAlignment w:val="auto"/>
        <w:rPr>
          <w:rFonts w:eastAsia="黑体"/>
          <w:sz w:val="32"/>
          <w:szCs w:val="32"/>
        </w:rPr>
      </w:pP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 xml:space="preserve">第一条  </w:t>
      </w:r>
      <w:r>
        <w:rPr>
          <w:rFonts w:eastAsia="仿宋_GB2312"/>
          <w:sz w:val="32"/>
          <w:szCs w:val="32"/>
        </w:rPr>
        <w:t>为推进集体与国有建设用地统一的税收制度，探索集体土地使用权主体以多种形式承担纳税义务的途径，根据《中华人民共和国契税法》、《中华人民共和国耕地占用税暂行条例》、《中华人民共和国增值税暂行条例》、《财政部国家税务总局关于全面推开营业税改征增值税试点的通知》规定，结合我区实际，制定本办法。</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 xml:space="preserve">第二条 </w:t>
      </w:r>
      <w:r>
        <w:rPr>
          <w:rFonts w:eastAsia="仿宋_GB2312"/>
          <w:sz w:val="32"/>
          <w:szCs w:val="32"/>
        </w:rPr>
        <w:t xml:space="preserve"> 本区行政区域内集体经营性建设用地入市和转让的相关税费调节金征收管理适用本办法。</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第三条</w:t>
      </w:r>
      <w:r>
        <w:rPr>
          <w:rFonts w:eastAsia="仿宋_GB2312"/>
          <w:sz w:val="32"/>
          <w:szCs w:val="32"/>
        </w:rPr>
        <w:t xml:space="preserve">  按照国有建设用地与集体建设用地税赋对等的思路，结合现行国有土地出让、转让税收政策，确定集体经营性建设用地入市和转让中相对应的调节金。</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第四条</w:t>
      </w:r>
      <w:r>
        <w:rPr>
          <w:rFonts w:eastAsia="仿宋_GB2312"/>
          <w:sz w:val="32"/>
          <w:szCs w:val="32"/>
        </w:rPr>
        <w:t xml:space="preserve">  入市中的土地增值收益调节金按《孟津区集体经营性建设用地土地增值收益调节金征收使用管理实施细则（试行）》规定执行。</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第五条</w:t>
      </w:r>
      <w:r>
        <w:rPr>
          <w:rFonts w:eastAsia="仿宋_GB2312"/>
          <w:sz w:val="32"/>
          <w:szCs w:val="32"/>
        </w:rPr>
        <w:t xml:space="preserve">  转让过程中征收土地增值税调节金、增值税调节金及附征税调节金（含城建税调节金、教育附加费调节金、地方教育附加税调节金）。</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第六条</w:t>
      </w:r>
      <w:r>
        <w:rPr>
          <w:rFonts w:eastAsia="仿宋_GB2312"/>
          <w:sz w:val="32"/>
          <w:szCs w:val="32"/>
        </w:rPr>
        <w:t xml:space="preserve">  契税、耕地占用税、土地使用税等税种，因征收对象不区分国有建设用地和集体建设用地，依相关税收政策规定征收。</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第七条</w:t>
      </w:r>
      <w:r>
        <w:rPr>
          <w:rFonts w:eastAsia="仿宋_GB2312"/>
          <w:sz w:val="32"/>
          <w:szCs w:val="32"/>
        </w:rPr>
        <w:t xml:space="preserve">  参考《中华人民共和国土地增值税暂行条例》，土地增值税调节金的计征基数为：</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仿宋_GB2312"/>
          <w:sz w:val="32"/>
          <w:szCs w:val="32"/>
        </w:rPr>
        <w:t>（一）土地增值税调节金以缴费人转让集体经营性建设用地使用权所取得的增值额为计征基数。土地增值额为缴费人转让土地使用权所取得的收入扣除取得土地并且能够提供有效凭证的成本后的余额。</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eastAsia="仿宋_GB2312"/>
          <w:sz w:val="32"/>
          <w:szCs w:val="32"/>
        </w:rPr>
        <w:t>（二）土地增值税调节金实行四级超率累进计征比例，即：增值额未超过扣除项目金额</w:t>
      </w:r>
      <w:r>
        <w:rPr>
          <w:rFonts w:hint="default" w:ascii="Times New Roman" w:hAnsi="Times New Roman" w:eastAsia="仿宋_GB2312" w:cs="Times New Roman"/>
          <w:sz w:val="32"/>
          <w:szCs w:val="32"/>
        </w:rPr>
        <w:t>50%（含）的部分，计征比例为30%；增值额超过扣除项目金额50%、未超过扣除项目金额100%（含）的部分，计征比例为40%；增值额超过扣除项目金额100%、未超过扣除项目金额200%（含）的部分，计征比例为50%；增值额超过扣除项目金额200%的部分，计征比例为60%。</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仿宋_GB2312"/>
          <w:sz w:val="32"/>
          <w:szCs w:val="32"/>
        </w:rPr>
        <w:t>（三）土地增值税调节金应缴金额，根据土地增值税调节金的计征基数和计征比例计算征收，计算公式：应缴金额=计征基数</w:t>
      </w:r>
      <w:r>
        <w:rPr>
          <w:rFonts w:hint="default" w:ascii="Times New Roman" w:hAnsi="Times New Roman" w:eastAsia="仿宋_GB2312" w:cs="Times New Roman"/>
          <w:sz w:val="32"/>
          <w:szCs w:val="32"/>
        </w:rPr>
        <w:t>×</w:t>
      </w:r>
      <w:r>
        <w:rPr>
          <w:rFonts w:eastAsia="仿宋_GB2312"/>
          <w:sz w:val="32"/>
          <w:szCs w:val="32"/>
        </w:rPr>
        <w:t>对应计征比例。</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第八条</w:t>
      </w:r>
      <w:r>
        <w:rPr>
          <w:rFonts w:eastAsia="仿宋_GB2312"/>
          <w:sz w:val="32"/>
          <w:szCs w:val="32"/>
        </w:rPr>
        <w:t xml:space="preserve">  参考《中华人民共和国增值税暂行条例》、《财政部国家税务总局关于全面推开营业税改征增值税试点的通知》，转让集体经营性建设用地的，征收增值税调节金。</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仿宋_GB2312"/>
          <w:sz w:val="32"/>
          <w:szCs w:val="32"/>
        </w:rPr>
        <w:t>缴费人转让</w:t>
      </w:r>
      <w:r>
        <w:rPr>
          <w:rFonts w:hint="default" w:ascii="Times New Roman" w:hAnsi="Times New Roman" w:eastAsia="仿宋_GB2312" w:cs="Times New Roman"/>
          <w:sz w:val="32"/>
          <w:szCs w:val="32"/>
        </w:rPr>
        <w:t>2016年4月30日</w:t>
      </w:r>
      <w:r>
        <w:rPr>
          <w:rFonts w:eastAsia="仿宋_GB2312"/>
          <w:sz w:val="32"/>
          <w:szCs w:val="32"/>
        </w:rPr>
        <w:t>前取得的土地使用权，以取得的全部价款和价外费用减去取得该土地使用权的原价后的余额，按照</w:t>
      </w:r>
      <w:r>
        <w:rPr>
          <w:rFonts w:hint="default" w:ascii="Times New Roman" w:hAnsi="Times New Roman" w:eastAsia="仿宋_GB2312" w:cs="Times New Roman"/>
          <w:sz w:val="32"/>
          <w:szCs w:val="32"/>
        </w:rPr>
        <w:t>5%</w:t>
      </w:r>
      <w:r>
        <w:rPr>
          <w:rFonts w:eastAsia="仿宋_GB2312"/>
          <w:sz w:val="32"/>
          <w:szCs w:val="32"/>
        </w:rPr>
        <w:t>的征收率计征增值税调节金。转让</w:t>
      </w:r>
      <w:r>
        <w:rPr>
          <w:rFonts w:hint="default" w:ascii="Times New Roman" w:hAnsi="Times New Roman" w:eastAsia="仿宋_GB2312" w:cs="Times New Roman"/>
          <w:sz w:val="32"/>
          <w:szCs w:val="32"/>
        </w:rPr>
        <w:t>2016年5月1日</w:t>
      </w:r>
      <w:r>
        <w:rPr>
          <w:rFonts w:eastAsia="仿宋_GB2312"/>
          <w:sz w:val="32"/>
          <w:szCs w:val="32"/>
        </w:rPr>
        <w:t>后取得的土地使用权，按照转让金额</w:t>
      </w:r>
      <w:r>
        <w:rPr>
          <w:rFonts w:hint="default" w:ascii="Times New Roman" w:hAnsi="Times New Roman" w:eastAsia="仿宋_GB2312" w:cs="Times New Roman"/>
          <w:sz w:val="32"/>
          <w:szCs w:val="32"/>
        </w:rPr>
        <w:t>3%</w:t>
      </w:r>
      <w:r>
        <w:rPr>
          <w:rFonts w:eastAsia="仿宋_GB2312"/>
          <w:sz w:val="32"/>
          <w:szCs w:val="32"/>
        </w:rPr>
        <w:t>的比例计征增值税调节金。</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第九条</w:t>
      </w:r>
      <w:r>
        <w:rPr>
          <w:rFonts w:eastAsia="仿宋_GB2312"/>
          <w:sz w:val="32"/>
          <w:szCs w:val="32"/>
        </w:rPr>
        <w:t xml:space="preserve">  附加税费调节金的计征方法为所缴纳增值税调节金额</w:t>
      </w:r>
      <w:r>
        <w:rPr>
          <w:rFonts w:hint="default" w:ascii="Times New Roman" w:hAnsi="Times New Roman" w:eastAsia="仿宋_GB2312" w:cs="Times New Roman"/>
          <w:sz w:val="32"/>
          <w:szCs w:val="32"/>
        </w:rPr>
        <w:t>×12%</w:t>
      </w:r>
      <w:r>
        <w:rPr>
          <w:rFonts w:eastAsia="仿宋_GB2312"/>
          <w:sz w:val="32"/>
          <w:szCs w:val="32"/>
        </w:rPr>
        <w:t>，其中城建税调节金为</w:t>
      </w:r>
      <w:r>
        <w:rPr>
          <w:rFonts w:hint="default" w:ascii="Times New Roman" w:hAnsi="Times New Roman" w:eastAsia="仿宋_GB2312" w:cs="Times New Roman"/>
          <w:sz w:val="32"/>
          <w:szCs w:val="32"/>
        </w:rPr>
        <w:t>7%，</w:t>
      </w:r>
      <w:r>
        <w:rPr>
          <w:rFonts w:eastAsia="仿宋_GB2312"/>
          <w:sz w:val="32"/>
          <w:szCs w:val="32"/>
        </w:rPr>
        <w:t>教育附加税调节金为</w:t>
      </w:r>
      <w:r>
        <w:rPr>
          <w:rFonts w:hint="default" w:ascii="Times New Roman" w:hAnsi="Times New Roman" w:eastAsia="仿宋_GB2312" w:cs="Times New Roman"/>
          <w:sz w:val="32"/>
          <w:szCs w:val="32"/>
        </w:rPr>
        <w:t>3%，</w:t>
      </w:r>
      <w:r>
        <w:rPr>
          <w:rFonts w:eastAsia="仿宋_GB2312"/>
          <w:sz w:val="32"/>
          <w:szCs w:val="32"/>
        </w:rPr>
        <w:t>地方教育附加税调节金为</w:t>
      </w:r>
      <w:r>
        <w:rPr>
          <w:rFonts w:hint="default" w:ascii="Times New Roman" w:hAnsi="Times New Roman" w:eastAsia="仿宋_GB2312" w:cs="Times New Roman"/>
          <w:sz w:val="32"/>
          <w:szCs w:val="32"/>
        </w:rPr>
        <w:t>2%。</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第十条</w:t>
      </w:r>
      <w:r>
        <w:rPr>
          <w:rFonts w:eastAsia="仿宋_GB2312"/>
          <w:sz w:val="32"/>
          <w:szCs w:val="32"/>
        </w:rPr>
        <w:t xml:space="preserve">  缴费人应当持缴费凭证和其他规定的文件材料，向相关部门办理有关土地、房屋的权属变更登记手续。</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第十一条</w:t>
      </w:r>
      <w:r>
        <w:rPr>
          <w:rFonts w:eastAsia="仿宋_GB2312"/>
          <w:sz w:val="32"/>
          <w:szCs w:val="32"/>
        </w:rPr>
        <w:t xml:space="preserve">  集体经营性建设用地入市和转让中税费调节金由区自然资源部门会同区财政部门进行征收。</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第十二条</w:t>
      </w:r>
      <w:r>
        <w:rPr>
          <w:rFonts w:eastAsia="仿宋_GB2312"/>
          <w:sz w:val="32"/>
          <w:szCs w:val="32"/>
        </w:rPr>
        <w:t xml:space="preserve">  本办法所规定调节金的征收、使用、管理和其他未尽事宜，按《孟津区集体经营性建设用地土地增值收益调节金征收使用管理实施细则（试行）》规定执行。</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第十三条</w:t>
      </w:r>
      <w:r>
        <w:rPr>
          <w:rFonts w:eastAsia="仿宋_GB2312"/>
          <w:sz w:val="32"/>
          <w:szCs w:val="32"/>
        </w:rPr>
        <w:t xml:space="preserve">  本办法执行中的具体问题由区财政局、区自然资源部门负责解释。</w:t>
      </w:r>
    </w:p>
    <w:p>
      <w:pPr>
        <w:pStyle w:val="21"/>
        <w:keepNext w:val="0"/>
        <w:keepLines w:val="0"/>
        <w:pageBreakBefore w:val="0"/>
        <w:widowControl w:val="0"/>
        <w:kinsoku/>
        <w:wordWrap/>
        <w:overflowPunct/>
        <w:topLinePunct/>
        <w:autoSpaceDE/>
        <w:autoSpaceDN/>
        <w:bidi w:val="0"/>
        <w:adjustRightInd/>
        <w:snapToGrid/>
        <w:spacing w:line="594" w:lineRule="exact"/>
        <w:ind w:firstLine="640" w:firstLineChars="200"/>
        <w:textAlignment w:val="auto"/>
        <w:rPr>
          <w:rFonts w:eastAsia="仿宋_GB2312"/>
          <w:sz w:val="32"/>
          <w:szCs w:val="32"/>
        </w:rPr>
      </w:pPr>
      <w:r>
        <w:rPr>
          <w:rFonts w:eastAsia="黑体"/>
          <w:sz w:val="32"/>
          <w:szCs w:val="32"/>
        </w:rPr>
        <w:t xml:space="preserve">第十四条  </w:t>
      </w:r>
      <w:r>
        <w:rPr>
          <w:rFonts w:eastAsia="仿宋_GB2312"/>
          <w:sz w:val="32"/>
          <w:szCs w:val="32"/>
        </w:rPr>
        <w:t>本办法自发布之日起执行</w:t>
      </w:r>
      <w:r>
        <w:rPr>
          <w:rFonts w:hint="eastAsia" w:eastAsia="仿宋_GB2312"/>
          <w:sz w:val="32"/>
          <w:szCs w:val="32"/>
        </w:rPr>
        <w:t>。</w:t>
      </w:r>
    </w:p>
    <w:p>
      <w:pPr>
        <w:rPr>
          <w:rFonts w:hint="eastAsia" w:eastAsiaTheme="minorEastAsia"/>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94"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00" w:lineRule="exact"/>
        <w:ind w:left="0"/>
        <w:jc w:val="left"/>
        <w:textAlignment w:val="auto"/>
        <w:rPr>
          <w:rFonts w:hint="default" w:ascii="Times New Roman" w:hAnsi="Times New Roman" w:cs="Times New Roman"/>
          <w:color w:val="000000" w:themeColor="text1"/>
          <w:kern w:val="21"/>
          <w:sz w:val="32"/>
          <w:lang w:val="en-US" w:eastAsia="zh-CN"/>
          <w14:textFill>
            <w14:solidFill>
              <w14:schemeClr w14:val="tx1"/>
            </w14:solidFill>
          </w14:textFill>
        </w:rPr>
      </w:pPr>
      <w:r>
        <w:rPr>
          <w:rFonts w:hint="default" w:ascii="Times New Roman" w:hAnsi="Times New Roman" w:cs="Times New Roman"/>
          <w:color w:val="000000" w:themeColor="text1"/>
          <w:kern w:val="21"/>
          <w:sz w:val="32"/>
          <w14:textFill>
            <w14:solidFill>
              <w14:schemeClr w14:val="tx1"/>
            </w14:solidFill>
          </w14:textFill>
        </w:rPr>
        <mc:AlternateContent>
          <mc:Choice Requires="wpg">
            <w:drawing>
              <wp:anchor distT="0" distB="0" distL="114300" distR="114300" simplePos="0" relativeHeight="251668480" behindDoc="0" locked="0" layoutInCell="1" allowOverlap="1">
                <wp:simplePos x="0" y="0"/>
                <wp:positionH relativeFrom="column">
                  <wp:posOffset>18415</wp:posOffset>
                </wp:positionH>
                <wp:positionV relativeFrom="paragraph">
                  <wp:posOffset>227330</wp:posOffset>
                </wp:positionV>
                <wp:extent cx="5636260" cy="401955"/>
                <wp:effectExtent l="0" t="0" r="0" b="0"/>
                <wp:wrapNone/>
                <wp:docPr id="12" name="组合 12"/>
                <wp:cNvGraphicFramePr/>
                <a:graphic xmlns:a="http://schemas.openxmlformats.org/drawingml/2006/main">
                  <a:graphicData uri="http://schemas.microsoft.com/office/word/2010/wordprocessingGroup">
                    <wpg:wgp>
                      <wpg:cNvGrpSpPr/>
                      <wpg:grpSpPr>
                        <a:xfrm>
                          <a:off x="0" y="0"/>
                          <a:ext cx="5636260" cy="401955"/>
                          <a:chOff x="4171" y="31649"/>
                          <a:chExt cx="8876" cy="633"/>
                        </a:xfrm>
                        <a:effectLst/>
                      </wpg:grpSpPr>
                      <wps:wsp>
                        <wps:cNvPr id="13" name="直接连接符 2"/>
                        <wps:cNvCnPr/>
                        <wps:spPr>
                          <a:xfrm>
                            <a:off x="4175" y="31649"/>
                            <a:ext cx="8844" cy="2"/>
                          </a:xfrm>
                          <a:prstGeom prst="line">
                            <a:avLst/>
                          </a:prstGeom>
                          <a:ln w="12700" cap="flat" cmpd="sng">
                            <a:solidFill>
                              <a:srgbClr val="000000"/>
                            </a:solidFill>
                            <a:prstDash val="solid"/>
                            <a:headEnd type="none" w="med" len="med"/>
                            <a:tailEnd type="none" w="med" len="med"/>
                          </a:ln>
                          <a:effectLst/>
                        </wps:spPr>
                        <wps:bodyPr upright="1"/>
                      </wps:wsp>
                      <wps:wsp>
                        <wps:cNvPr id="14" name="直接连接符 3"/>
                        <wps:cNvCnPr/>
                        <wps:spPr>
                          <a:xfrm>
                            <a:off x="4173" y="32280"/>
                            <a:ext cx="8844" cy="2"/>
                          </a:xfrm>
                          <a:prstGeom prst="line">
                            <a:avLst/>
                          </a:prstGeom>
                          <a:ln w="12700" cap="flat" cmpd="sng">
                            <a:solidFill>
                              <a:srgbClr val="000000"/>
                            </a:solidFill>
                            <a:prstDash val="solid"/>
                            <a:headEnd type="none" w="med" len="med"/>
                            <a:tailEnd type="none" w="med" len="med"/>
                          </a:ln>
                          <a:effectLst/>
                        </wps:spPr>
                        <wps:bodyPr upright="1"/>
                      </wps:wsp>
                      <wps:wsp>
                        <wps:cNvPr id="15" name="文本框 4"/>
                        <wps:cNvSpPr txBox="1"/>
                        <wps:spPr>
                          <a:xfrm>
                            <a:off x="4171" y="31654"/>
                            <a:ext cx="4365" cy="624"/>
                          </a:xfrm>
                          <a:prstGeom prst="rect">
                            <a:avLst/>
                          </a:prstGeom>
                          <a:noFill/>
                          <a:ln w="12700">
                            <a:noFill/>
                          </a:ln>
                          <a:effectLst/>
                        </wps:spPr>
                        <wps:txbx>
                          <w:txbxContent>
                            <w:p>
                              <w:pPr>
                                <w:snapToGrid w:val="0"/>
                                <w:spacing w:line="440" w:lineRule="exact"/>
                                <w:jc w:val="left"/>
                              </w:pPr>
                              <w:r>
                                <w:rPr>
                                  <w:rFonts w:hint="eastAsia" w:ascii="Times New Roman" w:hAnsi="Times New Roman"/>
                                  <w:color w:val="FFFFFF"/>
                                  <w:sz w:val="28"/>
                                  <w:szCs w:val="28"/>
                                  <w:lang w:eastAsia="zh-CN"/>
                                </w:rPr>
                                <w:t>　</w:t>
                              </w:r>
                              <w:r>
                                <w:rPr>
                                  <w:rFonts w:ascii="Times New Roman" w:hAnsi="Times New Roman" w:eastAsia="仿宋_GB2312"/>
                                  <w:sz w:val="28"/>
                                  <w:szCs w:val="28"/>
                                </w:rPr>
                                <w:t>洛阳市孟津区人民政府办公室</w:t>
                              </w:r>
                            </w:p>
                          </w:txbxContent>
                        </wps:txbx>
                        <wps:bodyPr lIns="0" tIns="45720" rIns="0" bIns="45720" upright="1"/>
                      </wps:wsp>
                      <wps:wsp>
                        <wps:cNvPr id="16" name="文本框 5"/>
                        <wps:cNvSpPr txBox="1"/>
                        <wps:spPr>
                          <a:xfrm>
                            <a:off x="9793" y="31657"/>
                            <a:ext cx="3254" cy="624"/>
                          </a:xfrm>
                          <a:prstGeom prst="rect">
                            <a:avLst/>
                          </a:prstGeom>
                          <a:noFill/>
                          <a:ln w="12700">
                            <a:noFill/>
                          </a:ln>
                          <a:effectLst/>
                        </wps:spPr>
                        <wps:txbx>
                          <w:txbxContent>
                            <w:p>
                              <w:pPr>
                                <w:keepNext w:val="0"/>
                                <w:keepLines w:val="0"/>
                                <w:pageBreakBefore w:val="0"/>
                                <w:widowControl w:val="0"/>
                                <w:kinsoku/>
                                <w:wordWrap w:val="0"/>
                                <w:overflowPunct/>
                                <w:topLinePunct w:val="0"/>
                                <w:bidi w:val="0"/>
                                <w:adjustRightInd/>
                                <w:snapToGrid w:val="0"/>
                                <w:spacing w:line="440" w:lineRule="exact"/>
                                <w:jc w:val="right"/>
                                <w:textAlignment w:val="auto"/>
                                <w:rPr>
                                  <w:rFonts w:hint="eastAsia" w:eastAsia="仿宋_GB2312"/>
                                  <w:color w:val="000000"/>
                                  <w:lang w:eastAsia="zh-CN"/>
                                </w:rPr>
                              </w:pPr>
                              <w:r>
                                <w:rPr>
                                  <w:rFonts w:hint="default"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shd w:val="clear" w:color="auto" w:fill="auto"/>
                                  <w:lang w:val="en-US" w:eastAsia="zh-CN"/>
                                </w:rPr>
                                <w:t>29</w:t>
                              </w:r>
                              <w:r>
                                <w:rPr>
                                  <w:rFonts w:ascii="Times New Roman" w:hAnsi="Times New Roman" w:eastAsia="仿宋_GB2312"/>
                                  <w:sz w:val="28"/>
                                  <w:szCs w:val="28"/>
                                </w:rPr>
                                <w:t>日印发</w:t>
                              </w:r>
                              <w:r>
                                <w:rPr>
                                  <w:rFonts w:hint="eastAsia" w:ascii="Times New Roman" w:hAnsi="Times New Roman"/>
                                  <w:color w:val="000000"/>
                                  <w:sz w:val="28"/>
                                  <w:szCs w:val="28"/>
                                  <w:lang w:eastAsia="zh-CN"/>
                                </w:rPr>
                                <w:t>　</w:t>
                              </w:r>
                            </w:p>
                          </w:txbxContent>
                        </wps:txbx>
                        <wps:bodyPr lIns="0" tIns="45720" rIns="0" bIns="45720" upright="1"/>
                      </wps:wsp>
                    </wpg:wgp>
                  </a:graphicData>
                </a:graphic>
              </wp:anchor>
            </w:drawing>
          </mc:Choice>
          <mc:Fallback>
            <w:pict>
              <v:group id="_x0000_s1026" o:spid="_x0000_s1026" o:spt="203" style="position:absolute;left:0pt;margin-left:1.45pt;margin-top:17.9pt;height:31.65pt;width:443.8pt;z-index:251668480;mso-width-relative:page;mso-height-relative:page;" coordorigin="4171,31649" coordsize="8876,633" o:gfxdata="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DwpbubYAAAABwEAAA8AAAAAAAAAAQAgAAAAIgAAAGRycy9kb3ducmV2LnhtbFBLAQIU&#10;ABQAAAAIAIdO4kBe5pArEAMAAHAKAAAOAAAAAAAAAAEAIAAAACcBAABkcnMvZTJvRG9jLnhtbFBL&#10;BQYAAAAABgAGAFkBAACpBgAAAAA=&#10;">
                <o:lock v:ext="edit" aspectratio="f"/>
                <v:line id="直接连接符 2" o:spid="_x0000_s1026" o:spt="20" style="position:absolute;left:4175;top:31649;height:2;width:8844;" filled="f" stroked="t" coordsize="21600,21600" o:gfxdata="UEsDBAoAAAAAAIdO4kAAAAAAAAAAAAAAAAAEAAAAZHJzL1BLAwQUAAAACACHTuJAL6Nl37oAAADb&#10;AAAADwAAAGRycy9kb3ducmV2LnhtbEVPS4vCMBC+C/sfwizsTVMV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o2Xf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接连接符 3" o:spid="_x0000_s1026" o:spt="20" style="position:absolute;left:4173;top:32280;height:2;width:8844;"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文本框 4" o:spid="_x0000_s1026" o:spt="202" type="#_x0000_t202" style="position:absolute;left:4171;top:31654;height:624;width:4365;" filled="f" stroked="f" coordsize="21600,21600" o:gfxdata="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ea9/b4A&#10;AADbAAAADwAAAAAAAAABACAAAAAiAAAAZHJzL2Rvd25yZXYueG1sUEsBAhQAFAAAAAgAh07iQDMv&#10;BZ47AAAAOQAAABAAAAAAAAAAAQAgAAAADQEAAGRycy9zaGFwZXhtbC54bWxQSwUGAAAAAAYABgBb&#10;AQAAtwMAAAAA&#10;">
                  <v:fill on="f" focussize="0,0"/>
                  <v:stroke on="f" weight="1pt"/>
                  <v:imagedata o:title=""/>
                  <o:lock v:ext="edit" aspectratio="f"/>
                  <v:textbox inset="0mm,1.27mm,0mm,1.27mm">
                    <w:txbxContent>
                      <w:p>
                        <w:pPr>
                          <w:snapToGrid w:val="0"/>
                          <w:spacing w:line="440" w:lineRule="exact"/>
                          <w:jc w:val="left"/>
                        </w:pPr>
                        <w:r>
                          <w:rPr>
                            <w:rFonts w:hint="eastAsia" w:ascii="Times New Roman" w:hAnsi="Times New Roman"/>
                            <w:color w:val="FFFFFF"/>
                            <w:sz w:val="28"/>
                            <w:szCs w:val="28"/>
                            <w:lang w:eastAsia="zh-CN"/>
                          </w:rPr>
                          <w:t>　</w:t>
                        </w:r>
                        <w:r>
                          <w:rPr>
                            <w:rFonts w:ascii="Times New Roman" w:hAnsi="Times New Roman" w:eastAsia="仿宋_GB2312"/>
                            <w:sz w:val="28"/>
                            <w:szCs w:val="28"/>
                          </w:rPr>
                          <w:t>洛阳市孟津区人民政府办公室</w:t>
                        </w:r>
                      </w:p>
                    </w:txbxContent>
                  </v:textbox>
                </v:shape>
                <v:shape id="文本框 5" o:spid="_x0000_s1026" o:spt="202" type="#_x0000_t202" style="position:absolute;left:9793;top:31657;height:624;width:3254;" filled="f" stroked="f" coordsize="21600,21600" o:gfxdata="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Qjir4A&#10;AADbAAAADwAAAAAAAAABACAAAAAiAAAAZHJzL2Rvd25yZXYueG1sUEsBAhQAFAAAAAgAh07iQDMv&#10;BZ47AAAAOQAAABAAAAAAAAAAAQAgAAAADQEAAGRycy9zaGFwZXhtbC54bWxQSwUGAAAAAAYABgBb&#10;AQAAtwMAAAAA&#10;">
                  <v:fill on="f" focussize="0,0"/>
                  <v:stroke on="f" weight="1pt"/>
                  <v:imagedata o:title=""/>
                  <o:lock v:ext="edit" aspectratio="f"/>
                  <v:textbox inset="0mm,1.27mm,0mm,1.27mm">
                    <w:txbxContent>
                      <w:p>
                        <w:pPr>
                          <w:keepNext w:val="0"/>
                          <w:keepLines w:val="0"/>
                          <w:pageBreakBefore w:val="0"/>
                          <w:widowControl w:val="0"/>
                          <w:kinsoku/>
                          <w:wordWrap w:val="0"/>
                          <w:overflowPunct/>
                          <w:topLinePunct w:val="0"/>
                          <w:bidi w:val="0"/>
                          <w:adjustRightInd/>
                          <w:snapToGrid w:val="0"/>
                          <w:spacing w:line="440" w:lineRule="exact"/>
                          <w:jc w:val="right"/>
                          <w:textAlignment w:val="auto"/>
                          <w:rPr>
                            <w:rFonts w:hint="eastAsia" w:eastAsia="仿宋_GB2312"/>
                            <w:color w:val="000000"/>
                            <w:lang w:eastAsia="zh-CN"/>
                          </w:rPr>
                        </w:pPr>
                        <w:r>
                          <w:rPr>
                            <w:rFonts w:hint="default"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shd w:val="clear" w:color="auto" w:fill="auto"/>
                            <w:lang w:val="en-US" w:eastAsia="zh-CN"/>
                          </w:rPr>
                          <w:t>29</w:t>
                        </w:r>
                        <w:r>
                          <w:rPr>
                            <w:rFonts w:ascii="Times New Roman" w:hAnsi="Times New Roman" w:eastAsia="仿宋_GB2312"/>
                            <w:sz w:val="28"/>
                            <w:szCs w:val="28"/>
                          </w:rPr>
                          <w:t>日印发</w:t>
                        </w:r>
                        <w:r>
                          <w:rPr>
                            <w:rFonts w:hint="eastAsia" w:ascii="Times New Roman" w:hAnsi="Times New Roman"/>
                            <w:color w:val="000000"/>
                            <w:sz w:val="28"/>
                            <w:szCs w:val="28"/>
                            <w:lang w:eastAsia="zh-CN"/>
                          </w:rPr>
                          <w:t>　</w:t>
                        </w:r>
                      </w:p>
                    </w:txbxContent>
                  </v:textbox>
                </v:shape>
              </v:group>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163195</wp:posOffset>
                </wp:positionH>
                <wp:positionV relativeFrom="paragraph">
                  <wp:posOffset>6888480</wp:posOffset>
                </wp:positionV>
                <wp:extent cx="819150" cy="30480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1113790" y="9566910"/>
                          <a:ext cx="819150" cy="3048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5pt;margin-top:542.4pt;height:24pt;width:64.5pt;z-index:251663360;mso-width-relative:page;mso-height-relative:page;" fillcolor="#FFFFFF [3201]" filled="t" stroked="t" coordsize="21600,21600" o:gfxdata="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&#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PISrDZAAAADAEAAA8AAAAAAAAAAQAgAAAAIgAAAGRy&#10;cy9kb3ducmV2LnhtbFBLAQIUABQAAAAIAIdO4kD1wScyPQIAAHUEAAAOAAAAAAAAAAEAIAAAACgB&#10;AABkcnMvZTJvRG9jLnhtbFBLBQYAAAAABgAGAFkBAADXBQAAAAA=&#10;">
                <v:fill on="t" focussize="0,0"/>
                <v:stroke weight="0.5pt" color="#FFFFFF [3212]" joinstyle="round"/>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8331200</wp:posOffset>
                </wp:positionV>
                <wp:extent cx="895350" cy="323850"/>
                <wp:effectExtent l="0" t="0" r="0" b="0"/>
                <wp:wrapNone/>
                <wp:docPr id="3" name="文本框 3"/>
                <wp:cNvGraphicFramePr/>
                <a:graphic xmlns:a="http://schemas.openxmlformats.org/drawingml/2006/main">
                  <a:graphicData uri="http://schemas.microsoft.com/office/word/2010/wordprocessingShape">
                    <wps:wsp>
                      <wps:cNvSpPr txBox="1"/>
                      <wps:spPr>
                        <a:xfrm>
                          <a:off x="1042035" y="9519285"/>
                          <a:ext cx="895350"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pt;margin-top:656pt;height:25.5pt;width:70.5pt;z-index:251662336;mso-width-relative:page;mso-height-relative:page;" fillcolor="#FFFFFF [3201]" filled="t" stroked="f" coordsize="21600,21600" o:gfxdata="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1HqStQAAAAMAQAADwAAAAAAAAABACAAAAAiAAAAZHJzL2Rv&#10;d25yZXYueG1sUEsBAhQAFAAAAAgAh07iQPB7lmE+AgAATAQAAA4AAAAAAAAAAQAgAAAAIwEAAGRy&#10;cy9lMm9Eb2MueG1sUEsFBgAAAAAGAAYAWQEAANMFAAAAAA==&#10;">
                <v:fill on="t" focussize="0,0"/>
                <v:stroke on="f" weight="0.5pt"/>
                <v:imagedata o:title=""/>
                <o:lock v:ext="edit" aspectratio="f"/>
                <v:textbox>
                  <w:txbxContent>
                    <w:p/>
                  </w:txbxContent>
                </v:textbox>
              </v:shape>
            </w:pict>
          </mc:Fallback>
        </mc:AlternateContent>
      </w:r>
    </w:p>
    <w:sectPr>
      <w:footerReference r:id="rId3" w:type="default"/>
      <w:pgSz w:w="11906" w:h="16838"/>
      <w:pgMar w:top="1871" w:right="1542" w:bottom="1899" w:left="1497" w:header="851" w:footer="96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Segoe UI">
    <w:altName w:val="微软雅黑"/>
    <w:panose1 w:val="00000000000000000000"/>
    <w:charset w:val="00"/>
    <w:family w:val="auto"/>
    <w:pitch w:val="default"/>
    <w:sig w:usb0="00000000" w:usb1="00000000" w:usb2="00000000" w:usb3="00000000" w:csb0="00040001" w:csb1="00000000"/>
  </w:font>
  <w:font w:name="等线;微软雅黑">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-393700</wp:posOffset>
              </wp:positionV>
              <wp:extent cx="1080135" cy="4127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80135"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1pt;height:32.5pt;width:85.05pt;mso-position-horizontal:outside;mso-position-horizontal-relative:margin;z-index:251659264;mso-width-relative:page;mso-height-relative:page;" filled="f" stroked="f" coordsize="21600,21600" o:gfxdata="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O5ULNUAAAAGAQAADwAA&#10;AAAAAAABACAAAAAiAAAAZHJzL2Rvd25yZXYueG1sUEsBAhQAFAAAAAgAh07iQLG4YGwZAgAAFAQA&#10;AA4AAAAAAAAAAQAgAAAAJAEAAGRycy9lMm9Eb2MueG1sUEsFBgAAAAAGAAYAWQEAAK8FAAAAAA==&#10;">
              <v:fill on="f" focussize="0,0"/>
              <v:stroke on="f" weight="0.5pt"/>
              <v:imagedata o:title=""/>
              <o:lock v:ext="edit" aspectratio="f"/>
              <v:textbox inset="0mm,0mm,0mm,0mm">
                <w:txbxContent>
                  <w:p>
                    <w:pPr>
                      <w:pStyle w:val="5"/>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WEzYWVlZTZiZDMxYWM3ZTA5MmQ5NmVlNzUyMTEifQ=="/>
  </w:docVars>
  <w:rsids>
    <w:rsidRoot w:val="41A217F6"/>
    <w:rsid w:val="00B72D86"/>
    <w:rsid w:val="0101283B"/>
    <w:rsid w:val="01C32E96"/>
    <w:rsid w:val="01C70AC3"/>
    <w:rsid w:val="02022E0B"/>
    <w:rsid w:val="026A6749"/>
    <w:rsid w:val="02BB280A"/>
    <w:rsid w:val="033737CD"/>
    <w:rsid w:val="036D1423"/>
    <w:rsid w:val="036F7C8F"/>
    <w:rsid w:val="03B36B68"/>
    <w:rsid w:val="04402F82"/>
    <w:rsid w:val="050E6C13"/>
    <w:rsid w:val="0581160F"/>
    <w:rsid w:val="058F2582"/>
    <w:rsid w:val="060C3336"/>
    <w:rsid w:val="06710264"/>
    <w:rsid w:val="07107706"/>
    <w:rsid w:val="071F166E"/>
    <w:rsid w:val="07387A9B"/>
    <w:rsid w:val="08873B0C"/>
    <w:rsid w:val="08ED7367"/>
    <w:rsid w:val="09030CC1"/>
    <w:rsid w:val="09381CDD"/>
    <w:rsid w:val="095D3F14"/>
    <w:rsid w:val="09B45689"/>
    <w:rsid w:val="0C01457B"/>
    <w:rsid w:val="0CBE6F78"/>
    <w:rsid w:val="0D744D1A"/>
    <w:rsid w:val="0E9D4E90"/>
    <w:rsid w:val="0EBC0678"/>
    <w:rsid w:val="0F5B5EF9"/>
    <w:rsid w:val="0FCE45BA"/>
    <w:rsid w:val="108F4D86"/>
    <w:rsid w:val="11507432"/>
    <w:rsid w:val="11676564"/>
    <w:rsid w:val="11F729BC"/>
    <w:rsid w:val="124B2CBA"/>
    <w:rsid w:val="12C263E2"/>
    <w:rsid w:val="13AD22D8"/>
    <w:rsid w:val="141D5F4E"/>
    <w:rsid w:val="1423336C"/>
    <w:rsid w:val="1477069A"/>
    <w:rsid w:val="149924D4"/>
    <w:rsid w:val="14A0099E"/>
    <w:rsid w:val="14A97BF1"/>
    <w:rsid w:val="156F7B1F"/>
    <w:rsid w:val="168D573D"/>
    <w:rsid w:val="175F5A95"/>
    <w:rsid w:val="17EE50A9"/>
    <w:rsid w:val="18FF42D3"/>
    <w:rsid w:val="1A4A2AF8"/>
    <w:rsid w:val="1C29196E"/>
    <w:rsid w:val="1D3F2AE4"/>
    <w:rsid w:val="1DE600A5"/>
    <w:rsid w:val="1E516CBB"/>
    <w:rsid w:val="1EB35B44"/>
    <w:rsid w:val="1F3B1C8E"/>
    <w:rsid w:val="1FCF3BC0"/>
    <w:rsid w:val="20EA2C10"/>
    <w:rsid w:val="211013D3"/>
    <w:rsid w:val="21871F52"/>
    <w:rsid w:val="21CD1190"/>
    <w:rsid w:val="21F7310F"/>
    <w:rsid w:val="22786C98"/>
    <w:rsid w:val="22A04AF7"/>
    <w:rsid w:val="22B42F6D"/>
    <w:rsid w:val="22DE5A7D"/>
    <w:rsid w:val="23052C57"/>
    <w:rsid w:val="231A3925"/>
    <w:rsid w:val="232263B9"/>
    <w:rsid w:val="23904F5C"/>
    <w:rsid w:val="23A64B01"/>
    <w:rsid w:val="24140E66"/>
    <w:rsid w:val="25444813"/>
    <w:rsid w:val="25F3286A"/>
    <w:rsid w:val="26071240"/>
    <w:rsid w:val="27AE28C0"/>
    <w:rsid w:val="27C47C19"/>
    <w:rsid w:val="28214542"/>
    <w:rsid w:val="29B54553"/>
    <w:rsid w:val="29B91749"/>
    <w:rsid w:val="29C4553D"/>
    <w:rsid w:val="2A3E6A44"/>
    <w:rsid w:val="2AC17E9E"/>
    <w:rsid w:val="2B0B20BB"/>
    <w:rsid w:val="2B3238DB"/>
    <w:rsid w:val="2CAB7FC6"/>
    <w:rsid w:val="2DAB4309"/>
    <w:rsid w:val="2E3AE28C"/>
    <w:rsid w:val="2FFD610C"/>
    <w:rsid w:val="307C3521"/>
    <w:rsid w:val="30A3281F"/>
    <w:rsid w:val="31740FA4"/>
    <w:rsid w:val="323F10FE"/>
    <w:rsid w:val="326F375B"/>
    <w:rsid w:val="332D1C58"/>
    <w:rsid w:val="33802719"/>
    <w:rsid w:val="33974540"/>
    <w:rsid w:val="33C6778B"/>
    <w:rsid w:val="340F06E9"/>
    <w:rsid w:val="342B14C4"/>
    <w:rsid w:val="34C361C9"/>
    <w:rsid w:val="34CA1AAC"/>
    <w:rsid w:val="353E0A48"/>
    <w:rsid w:val="35565E0D"/>
    <w:rsid w:val="35690B0D"/>
    <w:rsid w:val="35AA7309"/>
    <w:rsid w:val="35BB3723"/>
    <w:rsid w:val="360777C3"/>
    <w:rsid w:val="363C1B2E"/>
    <w:rsid w:val="36A05D14"/>
    <w:rsid w:val="36D014D9"/>
    <w:rsid w:val="37536A5C"/>
    <w:rsid w:val="380B10E1"/>
    <w:rsid w:val="38553A43"/>
    <w:rsid w:val="3973767E"/>
    <w:rsid w:val="39DE44A5"/>
    <w:rsid w:val="39F914E1"/>
    <w:rsid w:val="3A4317A2"/>
    <w:rsid w:val="3A920DEE"/>
    <w:rsid w:val="3B752677"/>
    <w:rsid w:val="3B844869"/>
    <w:rsid w:val="3C1E4514"/>
    <w:rsid w:val="3C374746"/>
    <w:rsid w:val="3C5B7277"/>
    <w:rsid w:val="3C687F64"/>
    <w:rsid w:val="3CFFF5AE"/>
    <w:rsid w:val="3D77A7E3"/>
    <w:rsid w:val="3D7B2BFB"/>
    <w:rsid w:val="3E72139A"/>
    <w:rsid w:val="3E9C254C"/>
    <w:rsid w:val="40A05E6F"/>
    <w:rsid w:val="40CB5DD1"/>
    <w:rsid w:val="412D70AB"/>
    <w:rsid w:val="41403731"/>
    <w:rsid w:val="41676BFA"/>
    <w:rsid w:val="41A217F6"/>
    <w:rsid w:val="41E33CF6"/>
    <w:rsid w:val="420D2FC9"/>
    <w:rsid w:val="435F7FFB"/>
    <w:rsid w:val="43A05279"/>
    <w:rsid w:val="43F12BB3"/>
    <w:rsid w:val="43FD4F24"/>
    <w:rsid w:val="44C16BBF"/>
    <w:rsid w:val="45171372"/>
    <w:rsid w:val="4557579D"/>
    <w:rsid w:val="458D246D"/>
    <w:rsid w:val="45C8330B"/>
    <w:rsid w:val="45D333F5"/>
    <w:rsid w:val="4696461E"/>
    <w:rsid w:val="47656F82"/>
    <w:rsid w:val="476E0EA5"/>
    <w:rsid w:val="47733EF9"/>
    <w:rsid w:val="47B77999"/>
    <w:rsid w:val="483A408E"/>
    <w:rsid w:val="487A0748"/>
    <w:rsid w:val="48CA1003"/>
    <w:rsid w:val="4A082517"/>
    <w:rsid w:val="4A9C6932"/>
    <w:rsid w:val="4AB809D7"/>
    <w:rsid w:val="4AF50EAB"/>
    <w:rsid w:val="4C186067"/>
    <w:rsid w:val="4CFD748A"/>
    <w:rsid w:val="4E1D34E5"/>
    <w:rsid w:val="4FFFE0E5"/>
    <w:rsid w:val="50062F0E"/>
    <w:rsid w:val="505C1F70"/>
    <w:rsid w:val="51193B9B"/>
    <w:rsid w:val="51A41040"/>
    <w:rsid w:val="534108D0"/>
    <w:rsid w:val="53D60CB2"/>
    <w:rsid w:val="53FD00E4"/>
    <w:rsid w:val="54685ECD"/>
    <w:rsid w:val="54EB1213"/>
    <w:rsid w:val="555D6C66"/>
    <w:rsid w:val="555F72F2"/>
    <w:rsid w:val="556030D8"/>
    <w:rsid w:val="559C4BF1"/>
    <w:rsid w:val="561122B8"/>
    <w:rsid w:val="5679C31B"/>
    <w:rsid w:val="56AE001F"/>
    <w:rsid w:val="56B50F6A"/>
    <w:rsid w:val="57BF68CD"/>
    <w:rsid w:val="58262DCD"/>
    <w:rsid w:val="59117480"/>
    <w:rsid w:val="5A4125C2"/>
    <w:rsid w:val="5AAF00D7"/>
    <w:rsid w:val="5B9C6CBF"/>
    <w:rsid w:val="5C5E831E"/>
    <w:rsid w:val="5C790B08"/>
    <w:rsid w:val="5CA66C3C"/>
    <w:rsid w:val="5CE77D4A"/>
    <w:rsid w:val="5DA87E39"/>
    <w:rsid w:val="5DF475CE"/>
    <w:rsid w:val="5E11093F"/>
    <w:rsid w:val="5EBC1449"/>
    <w:rsid w:val="5EBDBE61"/>
    <w:rsid w:val="5F613FC8"/>
    <w:rsid w:val="5F657A9E"/>
    <w:rsid w:val="5F954B6A"/>
    <w:rsid w:val="5FFB0B5F"/>
    <w:rsid w:val="602302BB"/>
    <w:rsid w:val="603238E9"/>
    <w:rsid w:val="603D0233"/>
    <w:rsid w:val="610A3EA9"/>
    <w:rsid w:val="615D6B0D"/>
    <w:rsid w:val="61770302"/>
    <w:rsid w:val="61E01520"/>
    <w:rsid w:val="6354395E"/>
    <w:rsid w:val="63A86435"/>
    <w:rsid w:val="64965A10"/>
    <w:rsid w:val="649B6268"/>
    <w:rsid w:val="64FC31F0"/>
    <w:rsid w:val="654F1AB3"/>
    <w:rsid w:val="65C4377A"/>
    <w:rsid w:val="66386507"/>
    <w:rsid w:val="67B13AD0"/>
    <w:rsid w:val="67FA586F"/>
    <w:rsid w:val="68B25D11"/>
    <w:rsid w:val="68C1784F"/>
    <w:rsid w:val="68F64184"/>
    <w:rsid w:val="6AAC2D8C"/>
    <w:rsid w:val="6AEE5AE3"/>
    <w:rsid w:val="6B57EB5D"/>
    <w:rsid w:val="6B6B2AE0"/>
    <w:rsid w:val="6CCF27A4"/>
    <w:rsid w:val="6E5C5315"/>
    <w:rsid w:val="6E663F42"/>
    <w:rsid w:val="6EBFB810"/>
    <w:rsid w:val="6EEEB71F"/>
    <w:rsid w:val="6EF72FC0"/>
    <w:rsid w:val="6F5628D2"/>
    <w:rsid w:val="6FD7021A"/>
    <w:rsid w:val="7012532B"/>
    <w:rsid w:val="72063BDD"/>
    <w:rsid w:val="737D7526"/>
    <w:rsid w:val="738E2A4C"/>
    <w:rsid w:val="73BC1CB5"/>
    <w:rsid w:val="73E116A1"/>
    <w:rsid w:val="75622FD4"/>
    <w:rsid w:val="758C70AA"/>
    <w:rsid w:val="76395D8B"/>
    <w:rsid w:val="769D730D"/>
    <w:rsid w:val="76B03549"/>
    <w:rsid w:val="77B45C09"/>
    <w:rsid w:val="796155B2"/>
    <w:rsid w:val="79A6149E"/>
    <w:rsid w:val="79D3150A"/>
    <w:rsid w:val="7A8C7D7E"/>
    <w:rsid w:val="7B092F00"/>
    <w:rsid w:val="7B2FA2F4"/>
    <w:rsid w:val="7BFFC7C2"/>
    <w:rsid w:val="7C933BEE"/>
    <w:rsid w:val="7C9D74E3"/>
    <w:rsid w:val="7D1719E2"/>
    <w:rsid w:val="7D2D0A5C"/>
    <w:rsid w:val="7DBB40E6"/>
    <w:rsid w:val="7DF7C215"/>
    <w:rsid w:val="7DFD24C8"/>
    <w:rsid w:val="7EDE66D3"/>
    <w:rsid w:val="7F40093B"/>
    <w:rsid w:val="7F9A151D"/>
    <w:rsid w:val="7FEFA364"/>
    <w:rsid w:val="7FFF1016"/>
    <w:rsid w:val="9B2E1FAE"/>
    <w:rsid w:val="AEF7CD6C"/>
    <w:rsid w:val="B7BB8A27"/>
    <w:rsid w:val="BDFD9F13"/>
    <w:rsid w:val="DBF19145"/>
    <w:rsid w:val="DD4B38EC"/>
    <w:rsid w:val="EB67922A"/>
    <w:rsid w:val="EDF65EB0"/>
    <w:rsid w:val="F2FE7C11"/>
    <w:rsid w:val="FA1E06F7"/>
    <w:rsid w:val="FBDE244A"/>
    <w:rsid w:val="FBDE4D78"/>
    <w:rsid w:val="FDFBF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1"/>
    <w:pPr>
      <w:spacing w:before="13"/>
      <w:ind w:left="108"/>
    </w:pPr>
    <w:rPr>
      <w:rFonts w:ascii="宋体" w:hAnsi="宋体" w:eastAsia="宋体"/>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qFormat/>
    <w:uiPriority w:val="0"/>
    <w:pPr>
      <w:wordWrap w:val="0"/>
      <w:jc w:val="center"/>
    </w:pPr>
    <w:rPr>
      <w:rFonts w:ascii="Times New Roman" w:hAnsi="Times New Roman" w:eastAsia="宋体"/>
      <w:sz w:val="24"/>
      <w:szCs w:val="22"/>
    </w:rPr>
  </w:style>
  <w:style w:type="paragraph" w:styleId="8">
    <w:name w:val="Body Text 2"/>
    <w:basedOn w:val="1"/>
    <w:qFormat/>
    <w:uiPriority w:val="0"/>
    <w:pPr>
      <w:spacing w:after="120" w:line="480" w:lineRule="auto"/>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99"/>
    <w:pPr>
      <w:jc w:val="center"/>
      <w:outlineLvl w:val="0"/>
    </w:pPr>
    <w:rPr>
      <w:rFonts w:ascii="Arial" w:hAnsi="Arial"/>
      <w:b/>
      <w:sz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正文首缩两字 Char"/>
    <w:basedOn w:val="1"/>
    <w:qFormat/>
    <w:uiPriority w:val="0"/>
    <w:rPr>
      <w:rFonts w:ascii="Verdana" w:hAnsi="Verdana"/>
    </w:rPr>
  </w:style>
  <w:style w:type="paragraph" w:customStyle="1" w:styleId="15">
    <w:name w:val="列出段落1"/>
    <w:basedOn w:val="1"/>
    <w:qFormat/>
    <w:uiPriority w:val="99"/>
    <w:pPr>
      <w:widowControl/>
      <w:ind w:firstLine="420" w:firstLineChars="200"/>
      <w:jc w:val="left"/>
    </w:pPr>
    <w:rPr>
      <w:rFonts w:ascii="宋体" w:hAnsi="宋体" w:cs="宋体"/>
      <w:kern w:val="0"/>
      <w:sz w:val="24"/>
    </w:rPr>
  </w:style>
  <w:style w:type="character" w:customStyle="1" w:styleId="16">
    <w:name w:val="font51"/>
    <w:basedOn w:val="13"/>
    <w:qFormat/>
    <w:uiPriority w:val="0"/>
    <w:rPr>
      <w:rFonts w:hint="eastAsia" w:ascii="方正小标宋简体" w:hAnsi="方正小标宋简体" w:eastAsia="方正小标宋简体" w:cs="方正小标宋简体"/>
      <w:color w:val="000000"/>
      <w:sz w:val="28"/>
      <w:szCs w:val="28"/>
      <w:u w:val="none"/>
    </w:rPr>
  </w:style>
  <w:style w:type="character" w:customStyle="1" w:styleId="17">
    <w:name w:val="font81"/>
    <w:basedOn w:val="13"/>
    <w:qFormat/>
    <w:uiPriority w:val="0"/>
    <w:rPr>
      <w:rFonts w:hint="eastAsia" w:ascii="方正小标宋简体" w:hAnsi="方正小标宋简体" w:eastAsia="方正小标宋简体" w:cs="方正小标宋简体"/>
      <w:color w:val="000000"/>
      <w:sz w:val="52"/>
      <w:szCs w:val="52"/>
      <w:u w:val="none"/>
    </w:rPr>
  </w:style>
  <w:style w:type="paragraph" w:customStyle="1" w:styleId="18">
    <w:name w:val="Default"/>
    <w:basedOn w:val="19"/>
    <w:next w:val="7"/>
    <w:qFormat/>
    <w:uiPriority w:val="99"/>
    <w:pPr>
      <w:autoSpaceDE w:val="0"/>
      <w:autoSpaceDN w:val="0"/>
      <w:adjustRightInd w:val="0"/>
    </w:pPr>
    <w:rPr>
      <w:rFonts w:ascii="宋体" w:hAnsi="Times New Roman" w:eastAsia="宋体" w:cs="宋体"/>
      <w:kern w:val="0"/>
      <w:sz w:val="24"/>
      <w:lang w:bidi="ar-SA"/>
    </w:rPr>
  </w:style>
  <w:style w:type="paragraph" w:customStyle="1" w:styleId="19">
    <w:name w:val="正文1"/>
    <w:next w:val="1"/>
    <w:qFormat/>
    <w:uiPriority w:val="0"/>
    <w:pPr>
      <w:widowControl w:val="0"/>
      <w:jc w:val="both"/>
    </w:pPr>
    <w:rPr>
      <w:rFonts w:ascii="Calibri;Segoe UI" w:hAnsi="Calibri;Segoe UI" w:eastAsia="等线;微软雅黑" w:cs="Times New Roman"/>
      <w:color w:val="000000"/>
      <w:kern w:val="2"/>
      <w:sz w:val="21"/>
      <w:szCs w:val="24"/>
      <w:lang w:val="en-US" w:eastAsia="zh-CN" w:bidi="hi-IN"/>
    </w:rPr>
  </w:style>
  <w:style w:type="paragraph" w:styleId="20">
    <w:name w:val="List Paragraph"/>
    <w:basedOn w:val="1"/>
    <w:qFormat/>
    <w:uiPriority w:val="34"/>
    <w:pPr>
      <w:ind w:firstLine="420" w:firstLineChars="200"/>
    </w:pPr>
  </w:style>
  <w:style w:type="paragraph" w:customStyle="1" w:styleId="21">
    <w:name w:val="p0"/>
    <w:basedOn w:val="1"/>
    <w:qFormat/>
    <w:uiPriority w:val="0"/>
    <w:pPr>
      <w:widowControl/>
    </w:pPr>
    <w:rPr>
      <w:kern w:val="0"/>
      <w:szCs w:val="21"/>
    </w:rPr>
  </w:style>
  <w:style w:type="paragraph" w:customStyle="1" w:styleId="22">
    <w:name w:val="Table Text"/>
    <w:basedOn w:val="1"/>
    <w:semiHidden/>
    <w:qFormat/>
    <w:uiPriority w:val="0"/>
    <w:rPr>
      <w:rFonts w:ascii="仿宋" w:hAnsi="仿宋" w:eastAsia="仿宋" w:cs="仿宋"/>
      <w:sz w:val="31"/>
      <w:szCs w:val="31"/>
      <w:lang w:eastAsia="en-US"/>
    </w:rPr>
  </w:style>
  <w:style w:type="character" w:customStyle="1" w:styleId="23">
    <w:name w:val="正文文本 Char2"/>
    <w:qFormat/>
    <w:uiPriority w:val="0"/>
    <w:rPr>
      <w:rFonts w:ascii="MingLiU" w:eastAsia="MingLiU"/>
      <w:spacing w:val="20"/>
      <w:sz w:val="28"/>
      <w:szCs w:val="28"/>
      <w:shd w:val="clear" w:color="auto" w:fill="FFFFFF"/>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2024-01-17T07:54:00Z</dcterms:created>
  <dc:creator> Mrs  琳.</dc:creator>
  <cp:lastModifiedBy>Administrator</cp:lastModifiedBy>
  <cp:lastPrinted>2024-04-03T03:10:35Z</cp:lastPrinted>
  <dcterms:modified xsi:type="dcterms:W3CDTF">2024-04-03T03:13:21Z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61AA3558D1AD4231AF0B1A1C36CBEE89_11</vt:lpwstr>
  </property>
</Properties>
</file>